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B85A0" w14:textId="77777777" w:rsidR="00DB4057" w:rsidRDefault="009D4F60">
      <w:pPr>
        <w:spacing w:after="0" w:line="240" w:lineRule="auto"/>
        <w:rPr>
          <w:sz w:val="24"/>
          <w:szCs w:val="24"/>
        </w:rPr>
      </w:pPr>
      <w:r>
        <w:rPr>
          <w:sz w:val="24"/>
          <w:szCs w:val="24"/>
        </w:rPr>
        <w:tab/>
      </w:r>
      <w:r>
        <w:rPr>
          <w:noProof/>
        </w:rPr>
        <mc:AlternateContent>
          <mc:Choice Requires="wps">
            <w:drawing>
              <wp:anchor distT="0" distB="0" distL="0" distR="0" simplePos="0" relativeHeight="251658240" behindDoc="1" locked="0" layoutInCell="1" hidden="0" allowOverlap="1" wp14:anchorId="335D8810" wp14:editId="26398EED">
                <wp:simplePos x="0" y="0"/>
                <wp:positionH relativeFrom="column">
                  <wp:posOffset>0</wp:posOffset>
                </wp:positionH>
                <wp:positionV relativeFrom="paragraph">
                  <wp:posOffset>12700</wp:posOffset>
                </wp:positionV>
                <wp:extent cx="5773420" cy="1078865"/>
                <wp:effectExtent l="0" t="0" r="0" b="0"/>
                <wp:wrapNone/>
                <wp:docPr id="1649595742" name="Rectangle 1649595742"/>
                <wp:cNvGraphicFramePr/>
                <a:graphic xmlns:a="http://schemas.openxmlformats.org/drawingml/2006/main">
                  <a:graphicData uri="http://schemas.microsoft.com/office/word/2010/wordprocessingShape">
                    <wps:wsp>
                      <wps:cNvSpPr/>
                      <wps:spPr>
                        <a:xfrm>
                          <a:off x="2464053" y="3245330"/>
                          <a:ext cx="5763895" cy="1069340"/>
                        </a:xfrm>
                        <a:prstGeom prst="rect">
                          <a:avLst/>
                        </a:prstGeom>
                        <a:solidFill>
                          <a:srgbClr val="E1EFD8"/>
                        </a:solidFill>
                        <a:ln>
                          <a:noFill/>
                        </a:ln>
                      </wps:spPr>
                      <wps:txbx>
                        <w:txbxContent>
                          <w:p w14:paraId="743A6748" w14:textId="77777777" w:rsidR="00DB4057" w:rsidRDefault="00DB405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35D8810" id="Rectangle 1649595742" o:spid="_x0000_s1026" style="position:absolute;margin-left:0;margin-top:1pt;width:454.6pt;height:84.9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" fillcolor="#e1efd8" stroked="f">
                <v:textbox inset="2.53958mm,2.53958mm,2.53958mm,2.53958mm">
                  <w:txbxContent>
                    <w:p w14:paraId="743A6748" w14:textId="77777777" w:rsidR="00DB4057" w:rsidRDefault="00DB4057">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14:anchorId="092CEE05" wp14:editId="1BB3FA14">
                <wp:simplePos x="0" y="0"/>
                <wp:positionH relativeFrom="column">
                  <wp:posOffset>1</wp:posOffset>
                </wp:positionH>
                <wp:positionV relativeFrom="paragraph">
                  <wp:posOffset>0</wp:posOffset>
                </wp:positionV>
                <wp:extent cx="0" cy="25400"/>
                <wp:effectExtent l="0" t="0" r="0" b="0"/>
                <wp:wrapNone/>
                <wp:docPr id="1649595737" name="Straight Arrow Connector 1649595737"/>
                <wp:cNvGraphicFramePr/>
                <a:graphic xmlns:a="http://schemas.openxmlformats.org/drawingml/2006/main">
                  <a:graphicData uri="http://schemas.microsoft.com/office/word/2010/wordprocessingShape">
                    <wps:wsp>
                      <wps:cNvCnPr/>
                      <wps:spPr>
                        <a:xfrm>
                          <a:off x="2468019" y="3780000"/>
                          <a:ext cx="5755963" cy="0"/>
                        </a:xfrm>
                        <a:prstGeom prst="straightConnector1">
                          <a:avLst/>
                        </a:prstGeom>
                        <a:noFill/>
                        <a:ln w="25400" cap="flat" cmpd="sng">
                          <a:solidFill>
                            <a:srgbClr val="0070C0"/>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0" cy="25400"/>
                <wp:effectExtent b="0" l="0" r="0" t="0"/>
                <wp:wrapNone/>
                <wp:docPr id="1649595737"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0" cy="25400"/>
                        </a:xfrm>
                        <a:prstGeom prst="rect"/>
                        <a:ln/>
                      </pic:spPr>
                    </pic:pic>
                  </a:graphicData>
                </a:graphic>
              </wp:anchor>
            </w:drawing>
          </mc:Fallback>
        </mc:AlternateContent>
      </w:r>
      <w:r>
        <w:rPr>
          <w:noProof/>
        </w:rPr>
        <w:drawing>
          <wp:anchor distT="0" distB="0" distL="114300" distR="114300" simplePos="0" relativeHeight="251660288" behindDoc="0" locked="0" layoutInCell="1" hidden="0" allowOverlap="1" wp14:anchorId="628D96F2" wp14:editId="6CE4BF44">
            <wp:simplePos x="0" y="0"/>
            <wp:positionH relativeFrom="column">
              <wp:posOffset>83150</wp:posOffset>
            </wp:positionH>
            <wp:positionV relativeFrom="paragraph">
              <wp:posOffset>106679</wp:posOffset>
            </wp:positionV>
            <wp:extent cx="895350" cy="895350"/>
            <wp:effectExtent l="0" t="0" r="0" b="0"/>
            <wp:wrapNone/>
            <wp:docPr id="164959574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895350" cy="895350"/>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1E8A8F7D" wp14:editId="44AF6495">
            <wp:simplePos x="0" y="0"/>
            <wp:positionH relativeFrom="column">
              <wp:posOffset>4648200</wp:posOffset>
            </wp:positionH>
            <wp:positionV relativeFrom="paragraph">
              <wp:posOffset>75565</wp:posOffset>
            </wp:positionV>
            <wp:extent cx="1060910" cy="895766"/>
            <wp:effectExtent l="0" t="0" r="0" b="0"/>
            <wp:wrapNone/>
            <wp:docPr id="1649595744" name="image3.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Logo&#10;&#10;Description automatically generated"/>
                    <pic:cNvPicPr preferRelativeResize="0"/>
                  </pic:nvPicPr>
                  <pic:blipFill>
                    <a:blip r:embed="rId10"/>
                    <a:srcRect/>
                    <a:stretch>
                      <a:fillRect/>
                    </a:stretch>
                  </pic:blipFill>
                  <pic:spPr>
                    <a:xfrm>
                      <a:off x="0" y="0"/>
                      <a:ext cx="1060910" cy="895766"/>
                    </a:xfrm>
                    <a:prstGeom prst="rect">
                      <a:avLst/>
                    </a:prstGeom>
                    <a:ln/>
                  </pic:spPr>
                </pic:pic>
              </a:graphicData>
            </a:graphic>
          </wp:anchor>
        </w:drawing>
      </w:r>
    </w:p>
    <w:p w14:paraId="2E122843" w14:textId="77777777" w:rsidR="00DB4057" w:rsidRDefault="009D4F60">
      <w:pPr>
        <w:tabs>
          <w:tab w:val="center" w:pos="4535"/>
          <w:tab w:val="left" w:pos="7112"/>
        </w:tabs>
        <w:spacing w:after="0" w:line="240" w:lineRule="auto"/>
        <w:rPr>
          <w:rFonts w:ascii="Times New Roman" w:eastAsia="Times New Roman" w:hAnsi="Times New Roman" w:cs="Times New Roman"/>
          <w:b/>
          <w:sz w:val="36"/>
          <w:szCs w:val="36"/>
        </w:rPr>
      </w:pPr>
      <w:r>
        <w:rPr>
          <w:b/>
          <w:sz w:val="36"/>
          <w:szCs w:val="36"/>
        </w:rPr>
        <w:tab/>
      </w:r>
      <w:r>
        <w:rPr>
          <w:rFonts w:ascii="Times New Roman" w:eastAsia="Times New Roman" w:hAnsi="Times New Roman" w:cs="Times New Roman"/>
          <w:b/>
          <w:sz w:val="36"/>
          <w:szCs w:val="36"/>
        </w:rPr>
        <w:t>JURNAL TARBIYAH</w:t>
      </w:r>
      <w:r>
        <w:rPr>
          <w:rFonts w:ascii="Times New Roman" w:eastAsia="Times New Roman" w:hAnsi="Times New Roman" w:cs="Times New Roman"/>
          <w:b/>
          <w:sz w:val="36"/>
          <w:szCs w:val="36"/>
        </w:rPr>
        <w:tab/>
      </w:r>
    </w:p>
    <w:p w14:paraId="099F63B7" w14:textId="77777777" w:rsidR="00DB4057" w:rsidRDefault="009D4F60">
      <w:pPr>
        <w:tabs>
          <w:tab w:val="left" w:pos="711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42C120FF" w14:textId="77777777" w:rsidR="00DB4057" w:rsidRDefault="009D4F6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E-ISSN : 2597-4270 | P-ISSN : 0854-2627</w:t>
      </w:r>
    </w:p>
    <w:p w14:paraId="061BB55A" w14:textId="77777777" w:rsidR="00DB4057" w:rsidRDefault="009D4F6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Volume xx, Number X, Juni/December xxxx, pp. xx-xx</w:t>
      </w:r>
    </w:p>
    <w:p w14:paraId="7008E195" w14:textId="77777777" w:rsidR="00DB4057" w:rsidRDefault="009D4F60">
      <w:pPr>
        <w:tabs>
          <w:tab w:val="left" w:pos="1260"/>
        </w:tabs>
        <w:spacing w:after="0" w:line="240" w:lineRule="auto"/>
        <w:rPr>
          <w:sz w:val="24"/>
          <w:szCs w:val="24"/>
        </w:rPr>
      </w:pPr>
      <w:r>
        <w:rPr>
          <w:sz w:val="24"/>
          <w:szCs w:val="24"/>
        </w:rPr>
        <w:tab/>
      </w:r>
      <w:r>
        <w:rPr>
          <w:noProof/>
        </w:rPr>
        <mc:AlternateContent>
          <mc:Choice Requires="wps">
            <w:drawing>
              <wp:anchor distT="0" distB="0" distL="114300" distR="114300" simplePos="0" relativeHeight="251662336" behindDoc="0" locked="0" layoutInCell="1" hidden="0" allowOverlap="1" wp14:anchorId="17B28E7C" wp14:editId="3810E32B">
                <wp:simplePos x="0" y="0"/>
                <wp:positionH relativeFrom="column">
                  <wp:posOffset>1</wp:posOffset>
                </wp:positionH>
                <wp:positionV relativeFrom="paragraph">
                  <wp:posOffset>139700</wp:posOffset>
                </wp:positionV>
                <wp:extent cx="0" cy="25400"/>
                <wp:effectExtent l="0" t="0" r="0" b="0"/>
                <wp:wrapNone/>
                <wp:docPr id="1649595741" name="Straight Arrow Connector 1649595741"/>
                <wp:cNvGraphicFramePr/>
                <a:graphic xmlns:a="http://schemas.openxmlformats.org/drawingml/2006/main">
                  <a:graphicData uri="http://schemas.microsoft.com/office/word/2010/wordprocessingShape">
                    <wps:wsp>
                      <wps:cNvCnPr/>
                      <wps:spPr>
                        <a:xfrm>
                          <a:off x="2468180" y="3780000"/>
                          <a:ext cx="5755640" cy="0"/>
                        </a:xfrm>
                        <a:prstGeom prst="straightConnector1">
                          <a:avLst/>
                        </a:prstGeom>
                        <a:noFill/>
                        <a:ln w="25400" cap="flat" cmpd="sng">
                          <a:solidFill>
                            <a:srgbClr val="0070C0"/>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139700</wp:posOffset>
                </wp:positionV>
                <wp:extent cx="0" cy="25400"/>
                <wp:effectExtent b="0" l="0" r="0" t="0"/>
                <wp:wrapNone/>
                <wp:docPr id="1649595741" name="image9.png"/>
                <a:graphic>
                  <a:graphicData uri="http://schemas.openxmlformats.org/drawingml/2006/picture">
                    <pic:pic>
                      <pic:nvPicPr>
                        <pic:cNvPr id="0" name="image9.png"/>
                        <pic:cNvPicPr preferRelativeResize="0"/>
                      </pic:nvPicPr>
                      <pic:blipFill>
                        <a:blip r:embed="rId11"/>
                        <a:srcRect/>
                        <a:stretch>
                          <a:fillRect/>
                        </a:stretch>
                      </pic:blipFill>
                      <pic:spPr>
                        <a:xfrm>
                          <a:off x="0" y="0"/>
                          <a:ext cx="0" cy="25400"/>
                        </a:xfrm>
                        <a:prstGeom prst="rect"/>
                        <a:ln/>
                      </pic:spPr>
                    </pic:pic>
                  </a:graphicData>
                </a:graphic>
              </wp:anchor>
            </w:drawing>
          </mc:Fallback>
        </mc:AlternateContent>
      </w:r>
    </w:p>
    <w:p w14:paraId="1FC3118F" w14:textId="77777777" w:rsidR="00DB4057" w:rsidRDefault="00DB40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 w:val="28"/>
          <w:szCs w:val="28"/>
        </w:rPr>
      </w:pPr>
    </w:p>
    <w:p w14:paraId="19855B51" w14:textId="1A759A14" w:rsidR="00DB4057" w:rsidRDefault="0073726F">
      <w:pPr>
        <w:tabs>
          <w:tab w:val="left" w:pos="911"/>
          <w:tab w:val="left" w:pos="1075"/>
        </w:tabs>
        <w:spacing w:after="0" w:line="240" w:lineRule="auto"/>
        <w:jc w:val="center"/>
        <w:rPr>
          <w:rFonts w:ascii="Times New Roman" w:eastAsia="Times New Roman" w:hAnsi="Times New Roman" w:cs="Times New Roman"/>
          <w:b/>
          <w:sz w:val="28"/>
          <w:szCs w:val="28"/>
        </w:rPr>
      </w:pPr>
      <w:r w:rsidRPr="0073726F">
        <w:rPr>
          <w:rFonts w:ascii="Times New Roman" w:eastAsia="Times New Roman" w:hAnsi="Times New Roman" w:cs="Times New Roman"/>
          <w:b/>
          <w:sz w:val="28"/>
          <w:szCs w:val="28"/>
          <w:lang w:val="en-US"/>
        </w:rPr>
        <w:t>EMOTIONAL CHALLENGES OF JUNIOR SECONDARY STUDENTS: IMPLICATIONS FOR SCHOOL GUIDANCE AND COUNSELLING</w:t>
      </w:r>
    </w:p>
    <w:p w14:paraId="0607BEA7" w14:textId="77777777" w:rsidR="00DB4057" w:rsidRDefault="00DB4057">
      <w:pPr>
        <w:tabs>
          <w:tab w:val="left" w:pos="911"/>
          <w:tab w:val="left" w:pos="1075"/>
        </w:tabs>
        <w:spacing w:after="0" w:line="240" w:lineRule="auto"/>
        <w:ind w:left="1075" w:hanging="1075"/>
        <w:jc w:val="center"/>
        <w:rPr>
          <w:rFonts w:ascii="Times New Roman" w:eastAsia="Times New Roman" w:hAnsi="Times New Roman" w:cs="Times New Roman"/>
          <w:b/>
          <w:sz w:val="24"/>
          <w:szCs w:val="24"/>
        </w:rPr>
      </w:pPr>
    </w:p>
    <w:p w14:paraId="7229CE9A" w14:textId="77777777" w:rsidR="00DB4057" w:rsidRDefault="00DB4057">
      <w:pPr>
        <w:tabs>
          <w:tab w:val="left" w:pos="911"/>
          <w:tab w:val="left" w:pos="1075"/>
        </w:tabs>
        <w:spacing w:after="0" w:line="240" w:lineRule="auto"/>
        <w:ind w:left="1075" w:hanging="1075"/>
        <w:jc w:val="center"/>
        <w:rPr>
          <w:rFonts w:ascii="Times New Roman" w:eastAsia="Times New Roman" w:hAnsi="Times New Roman" w:cs="Times New Roman"/>
          <w:b/>
          <w:sz w:val="24"/>
          <w:szCs w:val="24"/>
        </w:rPr>
      </w:pPr>
    </w:p>
    <w:p w14:paraId="48E7E427" w14:textId="6660C5C7" w:rsidR="00DB4057" w:rsidRPr="0073726F" w:rsidRDefault="0073726F">
      <w:pPr>
        <w:spacing w:after="0" w:line="240" w:lineRule="auto"/>
        <w:jc w:val="center"/>
        <w:rPr>
          <w:rFonts w:ascii="Times New Roman" w:eastAsia="Times New Roman" w:hAnsi="Times New Roman" w:cs="Times New Roman"/>
          <w:bCs/>
          <w:sz w:val="24"/>
          <w:szCs w:val="24"/>
          <w:vertAlign w:val="superscript"/>
          <w:lang w:val="en-US"/>
        </w:rPr>
      </w:pPr>
      <w:r>
        <w:rPr>
          <w:rFonts w:ascii="Times New Roman" w:eastAsia="Times New Roman" w:hAnsi="Times New Roman" w:cs="Times New Roman"/>
          <w:b/>
          <w:sz w:val="24"/>
          <w:szCs w:val="24"/>
          <w:lang w:val="en-US"/>
        </w:rPr>
        <w:t>Nurul Ainulhaq Tiara Putra</w:t>
      </w:r>
      <w:r w:rsidR="009D4F60">
        <w:rPr>
          <w:rFonts w:ascii="Times New Roman" w:eastAsia="Times New Roman" w:hAnsi="Times New Roman" w:cs="Times New Roman"/>
          <w:b/>
          <w:sz w:val="24"/>
          <w:szCs w:val="24"/>
          <w:vertAlign w:val="superscript"/>
        </w:rPr>
        <w:t>1</w:t>
      </w:r>
      <w:r w:rsidR="009D4F6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lang w:val="en-US"/>
        </w:rPr>
        <w:t>Jamil Suprihatiningrum</w:t>
      </w:r>
      <w:r w:rsidR="009D4F60">
        <w:rPr>
          <w:rFonts w:ascii="Times New Roman" w:eastAsia="Times New Roman" w:hAnsi="Times New Roman" w:cs="Times New Roman"/>
          <w:b/>
          <w:sz w:val="24"/>
          <w:szCs w:val="24"/>
          <w:vertAlign w:val="superscript"/>
        </w:rPr>
        <w:t>2</w:t>
      </w:r>
      <w:r>
        <w:rPr>
          <w:rFonts w:ascii="Times New Roman" w:eastAsia="Times New Roman" w:hAnsi="Times New Roman" w:cs="Times New Roman"/>
          <w:b/>
          <w:sz w:val="24"/>
          <w:szCs w:val="24"/>
        </w:rPr>
        <w:t>,</w:t>
      </w:r>
      <w:r w:rsidRPr="0073726F">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b/>
          <w:sz w:val="24"/>
          <w:szCs w:val="24"/>
          <w:lang w:val="en-US"/>
        </w:rPr>
        <w:t>Nurbaeti</w:t>
      </w:r>
      <w:r>
        <w:rPr>
          <w:rFonts w:ascii="Times New Roman" w:eastAsia="Times New Roman" w:hAnsi="Times New Roman" w:cs="Times New Roman"/>
          <w:b/>
          <w:sz w:val="24"/>
          <w:szCs w:val="24"/>
          <w:vertAlign w:val="superscript"/>
          <w:lang w:val="en-US"/>
        </w:rPr>
        <w:t>3</w:t>
      </w:r>
    </w:p>
    <w:p w14:paraId="03288FE7" w14:textId="77777777" w:rsidR="00DB4057" w:rsidRDefault="00DB4057">
      <w:pPr>
        <w:spacing w:after="0" w:line="240" w:lineRule="auto"/>
        <w:jc w:val="center"/>
        <w:rPr>
          <w:rFonts w:ascii="Times New Roman" w:eastAsia="Times New Roman" w:hAnsi="Times New Roman" w:cs="Times New Roman"/>
          <w:b/>
          <w:sz w:val="24"/>
          <w:szCs w:val="24"/>
        </w:rPr>
      </w:pPr>
    </w:p>
    <w:p w14:paraId="46253B54" w14:textId="55628A02" w:rsidR="00DB4057" w:rsidRPr="00972DC1" w:rsidRDefault="009D4F60">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vertAlign w:val="superscript"/>
        </w:rPr>
        <w:t>1</w:t>
      </w:r>
      <w:r w:rsidR="00972DC1">
        <w:rPr>
          <w:rFonts w:ascii="Times New Roman" w:eastAsia="Times New Roman" w:hAnsi="Times New Roman" w:cs="Times New Roman"/>
          <w:sz w:val="24"/>
          <w:szCs w:val="24"/>
          <w:vertAlign w:val="superscript"/>
          <w:lang w:val="en-US"/>
        </w:rPr>
        <w:t>,2</w:t>
      </w:r>
      <w:r>
        <w:rPr>
          <w:rFonts w:ascii="Times New Roman" w:eastAsia="Times New Roman" w:hAnsi="Times New Roman" w:cs="Times New Roman"/>
          <w:sz w:val="24"/>
          <w:szCs w:val="24"/>
          <w:vertAlign w:val="superscript"/>
        </w:rPr>
        <w:t xml:space="preserve"> </w:t>
      </w:r>
      <w:r w:rsidR="00972DC1">
        <w:rPr>
          <w:rFonts w:ascii="Times New Roman" w:eastAsia="Times New Roman" w:hAnsi="Times New Roman" w:cs="Times New Roman"/>
          <w:sz w:val="24"/>
          <w:szCs w:val="24"/>
          <w:lang w:val="en-US"/>
        </w:rPr>
        <w:t>UIN Sunan Kalijaga Yogyakarta</w:t>
      </w:r>
      <w:r>
        <w:rPr>
          <w:rFonts w:ascii="Times New Roman" w:eastAsia="Times New Roman" w:hAnsi="Times New Roman" w:cs="Times New Roman"/>
          <w:sz w:val="24"/>
          <w:szCs w:val="24"/>
        </w:rPr>
        <w:t xml:space="preserve">, </w:t>
      </w:r>
      <w:r w:rsidR="00972DC1">
        <w:rPr>
          <w:rFonts w:ascii="Times New Roman" w:eastAsia="Times New Roman" w:hAnsi="Times New Roman" w:cs="Times New Roman"/>
          <w:sz w:val="24"/>
          <w:szCs w:val="24"/>
          <w:lang w:val="en-US"/>
        </w:rPr>
        <w:t>Daerah Istimewa Yogyakarta</w:t>
      </w:r>
      <w:r>
        <w:rPr>
          <w:rFonts w:ascii="Times New Roman" w:eastAsia="Times New Roman" w:hAnsi="Times New Roman" w:cs="Times New Roman"/>
          <w:sz w:val="24"/>
          <w:szCs w:val="24"/>
        </w:rPr>
        <w:t xml:space="preserve">, </w:t>
      </w:r>
      <w:r w:rsidR="00972DC1">
        <w:rPr>
          <w:rFonts w:ascii="Times New Roman" w:eastAsia="Times New Roman" w:hAnsi="Times New Roman" w:cs="Times New Roman"/>
          <w:sz w:val="24"/>
          <w:szCs w:val="24"/>
          <w:lang w:val="en-US"/>
        </w:rPr>
        <w:t>Indonesia</w:t>
      </w:r>
    </w:p>
    <w:p w14:paraId="7C4B544A" w14:textId="6D99615E" w:rsidR="00972DC1" w:rsidRDefault="00972DC1" w:rsidP="00972DC1">
      <w:pPr>
        <w:spacing w:after="0" w:line="240" w:lineRule="auto"/>
        <w:jc w:val="center"/>
        <w:rPr>
          <w:rFonts w:ascii="Times New Roman" w:eastAsia="Times New Roman" w:hAnsi="Times New Roman" w:cs="Times New Roman"/>
          <w:sz w:val="24"/>
          <w:szCs w:val="24"/>
          <w:lang w:val="en-US"/>
        </w:rPr>
      </w:pPr>
      <w:r w:rsidRPr="00972DC1">
        <w:rPr>
          <w:rFonts w:ascii="Times New Roman" w:eastAsia="Times New Roman" w:hAnsi="Times New Roman" w:cs="Times New Roman"/>
          <w:sz w:val="24"/>
          <w:szCs w:val="24"/>
          <w:lang w:val="en-US"/>
        </w:rPr>
        <w:t>Sambilegi Kidul, Depok, Sleman, 55281</w:t>
      </w:r>
    </w:p>
    <w:p w14:paraId="1EE6DBFC" w14:textId="224711C2" w:rsidR="006B5537" w:rsidRPr="00972DC1" w:rsidRDefault="006B5537" w:rsidP="006B5537">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vertAlign w:val="superscript"/>
          <w:lang w:val="en-US"/>
        </w:rPr>
        <w:t>3</w:t>
      </w:r>
      <w:r>
        <w:rPr>
          <w:rFonts w:ascii="Times New Roman" w:eastAsia="Times New Roman" w:hAnsi="Times New Roman" w:cs="Times New Roman"/>
          <w:sz w:val="24"/>
          <w:szCs w:val="24"/>
          <w:vertAlign w:val="superscript"/>
        </w:rPr>
        <w:t xml:space="preserve"> </w:t>
      </w:r>
      <w:r w:rsidRPr="006B5537">
        <w:rPr>
          <w:rFonts w:ascii="Times New Roman" w:eastAsia="Times New Roman" w:hAnsi="Times New Roman" w:cs="Times New Roman"/>
          <w:sz w:val="24"/>
          <w:szCs w:val="24"/>
          <w:lang w:val="en-US"/>
        </w:rPr>
        <w:t>Politeknik Negeri Ujung Pandang</w:t>
      </w:r>
      <w:r>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Sulawesi Selatan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Indonesia</w:t>
      </w:r>
    </w:p>
    <w:p w14:paraId="30393D06" w14:textId="705973DF" w:rsidR="006B5537" w:rsidRPr="00972DC1" w:rsidRDefault="006B5537" w:rsidP="006B5537">
      <w:pPr>
        <w:spacing w:after="0" w:line="240" w:lineRule="auto"/>
        <w:jc w:val="center"/>
        <w:rPr>
          <w:rFonts w:ascii="Times New Roman" w:eastAsia="Times New Roman" w:hAnsi="Times New Roman" w:cs="Times New Roman"/>
          <w:sz w:val="24"/>
          <w:szCs w:val="24"/>
        </w:rPr>
      </w:pPr>
      <w:r w:rsidRPr="006B5537">
        <w:rPr>
          <w:rFonts w:ascii="Times New Roman" w:eastAsia="Times New Roman" w:hAnsi="Times New Roman" w:cs="Times New Roman"/>
          <w:sz w:val="24"/>
          <w:szCs w:val="24"/>
          <w:lang w:val="en-US"/>
        </w:rPr>
        <w:t>Jalan Perintis Kemerdekaan KM. 10 Tamalanrea, Makassar</w:t>
      </w:r>
      <w:r>
        <w:rPr>
          <w:rFonts w:ascii="Times New Roman" w:eastAsia="Times New Roman" w:hAnsi="Times New Roman" w:cs="Times New Roman"/>
          <w:sz w:val="24"/>
          <w:szCs w:val="24"/>
          <w:lang w:val="en-US"/>
        </w:rPr>
        <w:t xml:space="preserve">, </w:t>
      </w:r>
      <w:r w:rsidRPr="006B5537">
        <w:rPr>
          <w:rFonts w:ascii="Times New Roman" w:eastAsia="Times New Roman" w:hAnsi="Times New Roman" w:cs="Times New Roman"/>
          <w:sz w:val="24"/>
          <w:szCs w:val="24"/>
          <w:lang w:val="en-US"/>
        </w:rPr>
        <w:t>90245</w:t>
      </w:r>
    </w:p>
    <w:p w14:paraId="1D61D804" w14:textId="6E2E54BD" w:rsidR="00DB4057" w:rsidRDefault="00DB4057">
      <w:pPr>
        <w:spacing w:after="0" w:line="240" w:lineRule="auto"/>
        <w:jc w:val="center"/>
        <w:rPr>
          <w:rFonts w:ascii="Times New Roman" w:eastAsia="Times New Roman" w:hAnsi="Times New Roman" w:cs="Times New Roman"/>
          <w:sz w:val="24"/>
          <w:szCs w:val="24"/>
        </w:rPr>
      </w:pPr>
    </w:p>
    <w:p w14:paraId="61F60955" w14:textId="1AB3546F" w:rsidR="00DB4057" w:rsidRDefault="00972DC1" w:rsidP="006B5537">
      <w:pPr>
        <w:spacing w:after="0" w:line="240" w:lineRule="auto"/>
        <w:jc w:val="center"/>
        <w:rPr>
          <w:rFonts w:ascii="Times New Roman" w:eastAsia="Times New Roman" w:hAnsi="Times New Roman" w:cs="Times New Roman"/>
          <w:sz w:val="24"/>
          <w:szCs w:val="24"/>
        </w:rPr>
      </w:pPr>
      <w:hyperlink r:id="rId12" w:history="1">
        <w:r w:rsidRPr="00B244E6">
          <w:rPr>
            <w:rStyle w:val="Hyperlink"/>
            <w:rFonts w:ascii="Times New Roman" w:eastAsia="Times New Roman" w:hAnsi="Times New Roman" w:cs="Times New Roman"/>
            <w:sz w:val="24"/>
            <w:szCs w:val="24"/>
            <w:lang w:val="en-US"/>
          </w:rPr>
          <w:t>24204011005</w:t>
        </w:r>
        <w:r w:rsidRPr="00B244E6">
          <w:rPr>
            <w:rStyle w:val="Hyperlink"/>
            <w:rFonts w:ascii="Times New Roman" w:eastAsia="Times New Roman" w:hAnsi="Times New Roman" w:cs="Times New Roman"/>
            <w:sz w:val="24"/>
            <w:szCs w:val="24"/>
          </w:rPr>
          <w:t>@</w:t>
        </w:r>
        <w:r w:rsidRPr="00B244E6">
          <w:rPr>
            <w:rStyle w:val="Hyperlink"/>
            <w:rFonts w:ascii="Times New Roman" w:eastAsia="Times New Roman" w:hAnsi="Times New Roman" w:cs="Times New Roman"/>
            <w:sz w:val="24"/>
            <w:szCs w:val="24"/>
            <w:lang w:val="en-US"/>
          </w:rPr>
          <w:t>student</w:t>
        </w:r>
        <w:r w:rsidRPr="00B244E6">
          <w:rPr>
            <w:rStyle w:val="Hyperlink"/>
            <w:rFonts w:ascii="Times New Roman" w:eastAsia="Times New Roman" w:hAnsi="Times New Roman" w:cs="Times New Roman"/>
            <w:sz w:val="24"/>
            <w:szCs w:val="24"/>
          </w:rPr>
          <w:t>.</w:t>
        </w:r>
        <w:r w:rsidRPr="00B244E6">
          <w:rPr>
            <w:rStyle w:val="Hyperlink"/>
            <w:rFonts w:ascii="Times New Roman" w:eastAsia="Times New Roman" w:hAnsi="Times New Roman" w:cs="Times New Roman"/>
            <w:sz w:val="24"/>
            <w:szCs w:val="24"/>
            <w:lang w:val="en-US"/>
          </w:rPr>
          <w:t>uin-suka.ac.id</w:t>
        </w:r>
      </w:hyperlink>
      <w:r w:rsidR="006B5537">
        <w:rPr>
          <w:rFonts w:ascii="Times New Roman" w:eastAsia="Times New Roman" w:hAnsi="Times New Roman" w:cs="Times New Roman"/>
          <w:color w:val="0000FF"/>
          <w:sz w:val="24"/>
          <w:szCs w:val="24"/>
          <w:u w:val="single"/>
          <w:lang w:val="en-US"/>
        </w:rPr>
        <w:t xml:space="preserve">, </w:t>
      </w:r>
      <w:hyperlink r:id="rId13" w:history="1">
        <w:r w:rsidR="006B5537" w:rsidRPr="00B244E6">
          <w:rPr>
            <w:rStyle w:val="Hyperlink"/>
            <w:rFonts w:ascii="Times New Roman" w:eastAsia="Times New Roman" w:hAnsi="Times New Roman" w:cs="Times New Roman"/>
            <w:sz w:val="24"/>
            <w:szCs w:val="24"/>
            <w:lang w:val="en-US"/>
          </w:rPr>
          <w:t>jamil.suprihatiningrum@uin-suka.ac.id</w:t>
        </w:r>
      </w:hyperlink>
      <w:r w:rsidR="006B5537">
        <w:rPr>
          <w:rFonts w:ascii="Times New Roman" w:eastAsia="Times New Roman" w:hAnsi="Times New Roman" w:cs="Times New Roman"/>
          <w:color w:val="0000FF"/>
          <w:sz w:val="24"/>
          <w:szCs w:val="24"/>
          <w:u w:val="single"/>
          <w:lang w:val="en-US"/>
        </w:rPr>
        <w:t>, nurbaeti.ibnoer02@gmail.com</w:t>
      </w:r>
      <w:r w:rsidR="009D4F60">
        <w:rPr>
          <w:rFonts w:ascii="Times New Roman" w:eastAsia="Times New Roman" w:hAnsi="Times New Roman" w:cs="Times New Roman"/>
          <w:sz w:val="24"/>
          <w:szCs w:val="24"/>
        </w:rPr>
        <w:t xml:space="preserve"> </w:t>
      </w:r>
    </w:p>
    <w:p w14:paraId="36D0F8F1" w14:textId="4090FF4F" w:rsidR="00DB4057" w:rsidRDefault="009D4F60">
      <w:pPr>
        <w:spacing w:before="240"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Nomor Handphone : </w:t>
      </w:r>
      <w:r w:rsidR="00972DC1">
        <w:rPr>
          <w:rFonts w:ascii="Times New Roman" w:eastAsia="Times New Roman" w:hAnsi="Times New Roman" w:cs="Times New Roman"/>
          <w:lang w:val="en-US"/>
        </w:rPr>
        <w:t>085172210275/085178112751</w:t>
      </w:r>
      <w:r>
        <w:rPr>
          <w:rFonts w:ascii="Times New Roman" w:eastAsia="Times New Roman" w:hAnsi="Times New Roman" w:cs="Times New Roman"/>
        </w:rPr>
        <w:t xml:space="preserve"> </w:t>
      </w:r>
    </w:p>
    <w:p w14:paraId="09EB0115" w14:textId="77777777" w:rsidR="00DB4057" w:rsidRDefault="009D4F60">
      <w:pPr>
        <w:spacing w:before="240" w:after="2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rPr>
        <w:t>(</w:t>
      </w:r>
      <w:r>
        <w:rPr>
          <w:rFonts w:ascii="Times New Roman" w:eastAsia="Times New Roman" w:hAnsi="Times New Roman" w:cs="Times New Roman"/>
          <w:b/>
          <w:color w:val="FF0000"/>
        </w:rPr>
        <w:t>Whatsapp/Nomor Handphone untuk Komunikasi/Tidak ditampilkan pada paper</w:t>
      </w:r>
      <w:r>
        <w:rPr>
          <w:rFonts w:ascii="Times New Roman" w:eastAsia="Times New Roman" w:hAnsi="Times New Roman" w:cs="Times New Roman"/>
          <w:color w:val="FF0000"/>
        </w:rPr>
        <w:t>)</w:t>
      </w:r>
    </w:p>
    <w:p w14:paraId="179539B4" w14:textId="77777777" w:rsidR="00DB4057" w:rsidRDefault="009D4F6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DOI : </w:t>
      </w:r>
      <w:hyperlink r:id="rId14">
        <w:r>
          <w:rPr>
            <w:rFonts w:ascii="Times New Roman" w:eastAsia="Times New Roman" w:hAnsi="Times New Roman" w:cs="Times New Roman"/>
            <w:color w:val="0000FF"/>
            <w:sz w:val="24"/>
            <w:szCs w:val="24"/>
            <w:u w:val="single"/>
          </w:rPr>
          <w:t>http://dx.doi.org/10.30829/tar.v30i2.XXXX</w:t>
        </w:r>
      </w:hyperlink>
      <w:r>
        <w:rPr>
          <w:rFonts w:ascii="Times New Roman" w:eastAsia="Times New Roman" w:hAnsi="Times New Roman" w:cs="Times New Roman"/>
          <w:sz w:val="24"/>
          <w:szCs w:val="24"/>
        </w:rPr>
        <w:t xml:space="preserve"> </w:t>
      </w:r>
    </w:p>
    <w:p w14:paraId="52D37546" w14:textId="77777777" w:rsidR="00DB4057" w:rsidRDefault="009D4F6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rPr>
      </w:pPr>
      <w:r>
        <w:rPr>
          <w:noProof/>
        </w:rPr>
        <mc:AlternateContent>
          <mc:Choice Requires="wps">
            <w:drawing>
              <wp:anchor distT="0" distB="0" distL="114300" distR="114300" simplePos="0" relativeHeight="251663360" behindDoc="0" locked="0" layoutInCell="1" hidden="0" allowOverlap="1" wp14:anchorId="7AE7C454" wp14:editId="2863D74F">
                <wp:simplePos x="0" y="0"/>
                <wp:positionH relativeFrom="column">
                  <wp:posOffset>1</wp:posOffset>
                </wp:positionH>
                <wp:positionV relativeFrom="paragraph">
                  <wp:posOffset>165100</wp:posOffset>
                </wp:positionV>
                <wp:extent cx="0" cy="12700"/>
                <wp:effectExtent l="0" t="0" r="0" b="0"/>
                <wp:wrapNone/>
                <wp:docPr id="1649595740" name="Straight Arrow Connector 1649595740"/>
                <wp:cNvGraphicFramePr/>
                <a:graphic xmlns:a="http://schemas.openxmlformats.org/drawingml/2006/main">
                  <a:graphicData uri="http://schemas.microsoft.com/office/word/2010/wordprocessingShape">
                    <wps:wsp>
                      <wps:cNvCnPr/>
                      <wps:spPr>
                        <a:xfrm>
                          <a:off x="2468180" y="3780000"/>
                          <a:ext cx="5755640" cy="0"/>
                        </a:xfrm>
                        <a:prstGeom prst="straightConnector1">
                          <a:avLst/>
                        </a:prstGeom>
                        <a:noFill/>
                        <a:ln w="12700" cap="flat" cmpd="sng">
                          <a:solidFill>
                            <a:srgbClr val="0070C0"/>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165100</wp:posOffset>
                </wp:positionV>
                <wp:extent cx="0" cy="12700"/>
                <wp:effectExtent b="0" l="0" r="0" t="0"/>
                <wp:wrapNone/>
                <wp:docPr id="1649595740" name="image8.png"/>
                <a:graphic>
                  <a:graphicData uri="http://schemas.openxmlformats.org/drawingml/2006/picture">
                    <pic:pic>
                      <pic:nvPicPr>
                        <pic:cNvPr id="0" name="image8.png"/>
                        <pic:cNvPicPr preferRelativeResize="0"/>
                      </pic:nvPicPr>
                      <pic:blipFill>
                        <a:blip r:embed="rId15"/>
                        <a:srcRect/>
                        <a:stretch>
                          <a:fillRect/>
                        </a:stretch>
                      </pic:blipFill>
                      <pic:spPr>
                        <a:xfrm>
                          <a:off x="0" y="0"/>
                          <a:ext cx="0" cy="12700"/>
                        </a:xfrm>
                        <a:prstGeom prst="rect"/>
                        <a:ln/>
                      </pic:spPr>
                    </pic:pic>
                  </a:graphicData>
                </a:graphic>
              </wp:anchor>
            </w:drawing>
          </mc:Fallback>
        </mc:AlternateContent>
      </w:r>
    </w:p>
    <w:tbl>
      <w:tblPr>
        <w:tblStyle w:val="a"/>
        <w:tblW w:w="9071" w:type="dxa"/>
        <w:tblBorders>
          <w:top w:val="nil"/>
          <w:left w:val="nil"/>
          <w:bottom w:val="nil"/>
          <w:right w:val="nil"/>
          <w:insideH w:val="nil"/>
          <w:insideV w:val="nil"/>
        </w:tblBorders>
        <w:tblLayout w:type="fixed"/>
        <w:tblLook w:val="0400" w:firstRow="0" w:lastRow="0" w:firstColumn="0" w:lastColumn="0" w:noHBand="0" w:noVBand="1"/>
      </w:tblPr>
      <w:tblGrid>
        <w:gridCol w:w="2836"/>
        <w:gridCol w:w="6235"/>
      </w:tblGrid>
      <w:tr w:rsidR="00DB4057" w14:paraId="00F2B975" w14:textId="77777777">
        <w:trPr>
          <w:trHeight w:val="340"/>
        </w:trPr>
        <w:tc>
          <w:tcPr>
            <w:tcW w:w="2836" w:type="dxa"/>
            <w:vAlign w:val="center"/>
          </w:tcPr>
          <w:p w14:paraId="1546D1D4" w14:textId="77777777" w:rsidR="00DB4057" w:rsidRDefault="009D4F6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ARTICLE INFO</w:t>
            </w:r>
          </w:p>
        </w:tc>
        <w:tc>
          <w:tcPr>
            <w:tcW w:w="6235" w:type="dxa"/>
            <w:vAlign w:val="center"/>
          </w:tcPr>
          <w:p w14:paraId="58EC6BDC" w14:textId="77777777" w:rsidR="00DB4057" w:rsidRDefault="009D4F6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ABSTRACT</w:t>
            </w:r>
          </w:p>
        </w:tc>
      </w:tr>
      <w:tr w:rsidR="00DB4057" w14:paraId="75619BAC" w14:textId="77777777">
        <w:trPr>
          <w:trHeight w:val="1186"/>
        </w:trPr>
        <w:tc>
          <w:tcPr>
            <w:tcW w:w="2836" w:type="dxa"/>
          </w:tcPr>
          <w:p w14:paraId="7AC16B82" w14:textId="77777777" w:rsidR="00DB4057" w:rsidRDefault="009D4F6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Article History</w:t>
            </w:r>
            <w:r>
              <w:rPr>
                <w:noProof/>
              </w:rPr>
              <mc:AlternateContent>
                <mc:Choice Requires="wps">
                  <w:drawing>
                    <wp:anchor distT="0" distB="0" distL="114300" distR="114300" simplePos="0" relativeHeight="251664384" behindDoc="0" locked="0" layoutInCell="1" hidden="0" allowOverlap="1" wp14:anchorId="1947B0DE" wp14:editId="6E58ECD8">
                      <wp:simplePos x="0" y="0"/>
                      <wp:positionH relativeFrom="column">
                        <wp:posOffset>-63499</wp:posOffset>
                      </wp:positionH>
                      <wp:positionV relativeFrom="paragraph">
                        <wp:posOffset>0</wp:posOffset>
                      </wp:positionV>
                      <wp:extent cx="0" cy="12700"/>
                      <wp:effectExtent l="0" t="0" r="0" b="0"/>
                      <wp:wrapNone/>
                      <wp:docPr id="1649595736" name="Straight Arrow Connector 1649595736"/>
                      <wp:cNvGraphicFramePr/>
                      <a:graphic xmlns:a="http://schemas.openxmlformats.org/drawingml/2006/main">
                        <a:graphicData uri="http://schemas.microsoft.com/office/word/2010/wordprocessingShape">
                          <wps:wsp>
                            <wps:cNvCnPr/>
                            <wps:spPr>
                              <a:xfrm>
                                <a:off x="4451762" y="3780000"/>
                                <a:ext cx="1788477" cy="0"/>
                              </a:xfrm>
                              <a:prstGeom prst="straightConnector1">
                                <a:avLst/>
                              </a:prstGeom>
                              <a:noFill/>
                              <a:ln w="12700" cap="flat" cmpd="sng">
                                <a:solidFill>
                                  <a:srgbClr val="0070C0"/>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-63499</wp:posOffset>
                      </wp:positionH>
                      <wp:positionV relativeFrom="paragraph">
                        <wp:posOffset>0</wp:posOffset>
                      </wp:positionV>
                      <wp:extent cx="0" cy="12700"/>
                      <wp:effectExtent b="0" l="0" r="0" t="0"/>
                      <wp:wrapNone/>
                      <wp:docPr id="1649595736" name="image4.png"/>
                      <a:graphic>
                        <a:graphicData uri="http://schemas.openxmlformats.org/drawingml/2006/picture">
                          <pic:pic>
                            <pic:nvPicPr>
                              <pic:cNvPr id="0" name="image4.png"/>
                              <pic:cNvPicPr preferRelativeResize="0"/>
                            </pic:nvPicPr>
                            <pic:blipFill>
                              <a:blip r:embed="rId16"/>
                              <a:srcRect/>
                              <a:stretch>
                                <a:fillRect/>
                              </a:stretch>
                            </pic:blipFill>
                            <pic:spPr>
                              <a:xfrm>
                                <a:off x="0" y="0"/>
                                <a:ext cx="0" cy="12700"/>
                              </a:xfrm>
                              <a:prstGeom prst="rect"/>
                              <a:ln/>
                            </pic:spPr>
                          </pic:pic>
                        </a:graphicData>
                      </a:graphic>
                    </wp:anchor>
                  </w:drawing>
                </mc:Fallback>
              </mc:AlternateContent>
            </w:r>
          </w:p>
          <w:p w14:paraId="6946484C" w14:textId="77777777" w:rsidR="00DB4057" w:rsidRDefault="009D4F6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Received : </w:t>
            </w:r>
            <w:r>
              <w:rPr>
                <w:rFonts w:ascii="Times New Roman" w:eastAsia="Times New Roman" w:hAnsi="Times New Roman" w:cs="Times New Roman"/>
                <w:sz w:val="20"/>
                <w:szCs w:val="20"/>
              </w:rPr>
              <w:t>(Di isi editor)</w:t>
            </w:r>
          </w:p>
          <w:p w14:paraId="48506A8B" w14:textId="77777777" w:rsidR="00DB4057" w:rsidRDefault="009D4F6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Revised : </w:t>
            </w:r>
            <w:r>
              <w:rPr>
                <w:rFonts w:ascii="Times New Roman" w:eastAsia="Times New Roman" w:hAnsi="Times New Roman" w:cs="Times New Roman"/>
                <w:sz w:val="20"/>
                <w:szCs w:val="20"/>
              </w:rPr>
              <w:t>(Di isi editor)</w:t>
            </w:r>
          </w:p>
          <w:p w14:paraId="501435A8" w14:textId="77777777" w:rsidR="00DB4057" w:rsidRDefault="009D4F6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Accepted : </w:t>
            </w:r>
            <w:r>
              <w:rPr>
                <w:rFonts w:ascii="Times New Roman" w:eastAsia="Times New Roman" w:hAnsi="Times New Roman" w:cs="Times New Roman"/>
                <w:sz w:val="20"/>
                <w:szCs w:val="20"/>
              </w:rPr>
              <w:t>(Di isi editor)</w:t>
            </w:r>
          </w:p>
          <w:p w14:paraId="325B3BBC" w14:textId="77777777" w:rsidR="00DB4057" w:rsidRDefault="00DB405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color w:val="000000"/>
                <w:sz w:val="20"/>
                <w:szCs w:val="20"/>
              </w:rPr>
            </w:pPr>
          </w:p>
        </w:tc>
        <w:tc>
          <w:tcPr>
            <w:tcW w:w="6235" w:type="dxa"/>
            <w:vMerge w:val="restart"/>
            <w:shd w:val="clear" w:color="auto" w:fill="E2EFD9"/>
          </w:tcPr>
          <w:p w14:paraId="710F5CA2" w14:textId="79C007E4" w:rsidR="00DB4057" w:rsidRDefault="006B553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imes New Roman" w:eastAsia="Times New Roman" w:hAnsi="Times New Roman" w:cs="Times New Roman"/>
                <w:b/>
                <w:color w:val="000000"/>
                <w:sz w:val="20"/>
                <w:szCs w:val="20"/>
              </w:rPr>
            </w:pPr>
            <w:r w:rsidRPr="006B5537">
              <w:rPr>
                <w:rFonts w:ascii="Times New Roman" w:eastAsia="Times New Roman" w:hAnsi="Times New Roman" w:cs="Times New Roman"/>
                <w:color w:val="000000"/>
                <w:sz w:val="20"/>
                <w:szCs w:val="20"/>
              </w:rPr>
              <w:t>Early adolescence represents a critical developmental period marked by rapid biological, psychological, and social changes that significantly influence emotional functioning. This study aims to explore the dynamics of emotional development among junior secondary school students and to identify the internal and external factors shaping these dynamics within a specific school context. Employing a qualitative case study design, this research was conducted at a public junior secondary school in Gowa Regency, Indonesia. Data were collected through participant observation, semi-structured in-depth interviews with students, guidance and counseling teachers, homeroom teachers, and parents, as well as document analysis. Thematic analysis was applied using an interactive data analysis model and interpreted through Erikson’s psychosocial development framework. The findings reveal that students experience highly fluctuating emotional states characterized by impulsivity, emotional reactivity, and difficulties in self-regulation. Internally, emotional instability is strongly associated with identity confusion and limited emotion regulation skills. Externally, insufficient family emotional support and challenging peer interactions further exacerbate students’ emotional vulnerability. Although guidance and counseling services are available, emotional support practices remain largely reactive rather than preventive. This study contributes to the global literature by providing a contextualized understanding of adolescent emotional development in a Global South public school setting, highlighting the importance of holistic, school-based emotional support systems that integrate counseling, pedagogy, and family involvement.</w:t>
            </w:r>
          </w:p>
        </w:tc>
      </w:tr>
      <w:tr w:rsidR="00DB4057" w14:paraId="365A8C89" w14:textId="77777777">
        <w:trPr>
          <w:trHeight w:val="1555"/>
        </w:trPr>
        <w:tc>
          <w:tcPr>
            <w:tcW w:w="2836" w:type="dxa"/>
          </w:tcPr>
          <w:p w14:paraId="3C9E1A2F" w14:textId="77777777" w:rsidR="00DB4057" w:rsidRDefault="009D4F6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Keywords</w:t>
            </w:r>
            <w:r>
              <w:rPr>
                <w:noProof/>
              </w:rPr>
              <mc:AlternateContent>
                <mc:Choice Requires="wps">
                  <w:drawing>
                    <wp:anchor distT="0" distB="0" distL="114300" distR="114300" simplePos="0" relativeHeight="251665408" behindDoc="0" locked="0" layoutInCell="1" hidden="0" allowOverlap="1" wp14:anchorId="6482FD26" wp14:editId="10367D30">
                      <wp:simplePos x="0" y="0"/>
                      <wp:positionH relativeFrom="column">
                        <wp:posOffset>-63499</wp:posOffset>
                      </wp:positionH>
                      <wp:positionV relativeFrom="paragraph">
                        <wp:posOffset>0</wp:posOffset>
                      </wp:positionV>
                      <wp:extent cx="0" cy="12700"/>
                      <wp:effectExtent l="0" t="0" r="0" b="0"/>
                      <wp:wrapNone/>
                      <wp:docPr id="1649595738" name="Straight Arrow Connector 1649595738"/>
                      <wp:cNvGraphicFramePr/>
                      <a:graphic xmlns:a="http://schemas.openxmlformats.org/drawingml/2006/main">
                        <a:graphicData uri="http://schemas.microsoft.com/office/word/2010/wordprocessingShape">
                          <wps:wsp>
                            <wps:cNvCnPr/>
                            <wps:spPr>
                              <a:xfrm>
                                <a:off x="4454143" y="3780000"/>
                                <a:ext cx="1783715" cy="0"/>
                              </a:xfrm>
                              <a:prstGeom prst="straightConnector1">
                                <a:avLst/>
                              </a:prstGeom>
                              <a:noFill/>
                              <a:ln w="12700" cap="flat" cmpd="sng">
                                <a:solidFill>
                                  <a:srgbClr val="0070C0"/>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-63499</wp:posOffset>
                      </wp:positionH>
                      <wp:positionV relativeFrom="paragraph">
                        <wp:posOffset>0</wp:posOffset>
                      </wp:positionV>
                      <wp:extent cx="0" cy="12700"/>
                      <wp:effectExtent b="0" l="0" r="0" t="0"/>
                      <wp:wrapNone/>
                      <wp:docPr id="1649595738" name="image6.png"/>
                      <a:graphic>
                        <a:graphicData uri="http://schemas.openxmlformats.org/drawingml/2006/picture">
                          <pic:pic>
                            <pic:nvPicPr>
                              <pic:cNvPr id="0" name="image6.png"/>
                              <pic:cNvPicPr preferRelativeResize="0"/>
                            </pic:nvPicPr>
                            <pic:blipFill>
                              <a:blip r:embed="rId17"/>
                              <a:srcRect/>
                              <a:stretch>
                                <a:fillRect/>
                              </a:stretch>
                            </pic:blipFill>
                            <pic:spPr>
                              <a:xfrm>
                                <a:off x="0" y="0"/>
                                <a:ext cx="0" cy="12700"/>
                              </a:xfrm>
                              <a:prstGeom prst="rect"/>
                              <a:ln/>
                            </pic:spPr>
                          </pic:pic>
                        </a:graphicData>
                      </a:graphic>
                    </wp:anchor>
                  </w:drawing>
                </mc:Fallback>
              </mc:AlternateContent>
            </w:r>
          </w:p>
          <w:p w14:paraId="7FDBCEB2" w14:textId="563D881D" w:rsidR="00DB4057" w:rsidRDefault="006B553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color w:val="000000"/>
                <w:sz w:val="20"/>
                <w:szCs w:val="20"/>
              </w:rPr>
            </w:pPr>
            <w:r w:rsidRPr="006B5537">
              <w:rPr>
                <w:rFonts w:ascii="Times New Roman" w:eastAsia="Times New Roman" w:hAnsi="Times New Roman" w:cs="Times New Roman"/>
                <w:i/>
                <w:iCs/>
                <w:color w:val="000000"/>
                <w:sz w:val="20"/>
                <w:szCs w:val="20"/>
                <w:lang w:val="en-US"/>
              </w:rPr>
              <w:t>adolescent emotional development</w:t>
            </w:r>
            <w:r>
              <w:rPr>
                <w:rFonts w:ascii="Times New Roman" w:eastAsia="Times New Roman" w:hAnsi="Times New Roman" w:cs="Times New Roman"/>
                <w:i/>
                <w:iCs/>
                <w:color w:val="000000"/>
                <w:sz w:val="20"/>
                <w:szCs w:val="20"/>
                <w:lang w:val="en-US"/>
              </w:rPr>
              <w:t>,</w:t>
            </w:r>
            <w:r w:rsidRPr="006B5537">
              <w:rPr>
                <w:rFonts w:ascii="Times New Roman" w:eastAsia="Times New Roman" w:hAnsi="Times New Roman" w:cs="Times New Roman"/>
                <w:i/>
                <w:iCs/>
                <w:color w:val="000000"/>
                <w:sz w:val="20"/>
                <w:szCs w:val="20"/>
                <w:lang w:val="en-US"/>
              </w:rPr>
              <w:t xml:space="preserve"> emotional regulation</w:t>
            </w:r>
            <w:r>
              <w:rPr>
                <w:rFonts w:ascii="Times New Roman" w:eastAsia="Times New Roman" w:hAnsi="Times New Roman" w:cs="Times New Roman"/>
                <w:i/>
                <w:iCs/>
                <w:color w:val="000000"/>
                <w:sz w:val="20"/>
                <w:szCs w:val="20"/>
                <w:lang w:val="en-US"/>
              </w:rPr>
              <w:t>,</w:t>
            </w:r>
            <w:r w:rsidRPr="006B5537">
              <w:rPr>
                <w:rFonts w:ascii="Times New Roman" w:eastAsia="Times New Roman" w:hAnsi="Times New Roman" w:cs="Times New Roman"/>
                <w:i/>
                <w:iCs/>
                <w:color w:val="000000"/>
                <w:sz w:val="20"/>
                <w:szCs w:val="20"/>
                <w:lang w:val="en-US"/>
              </w:rPr>
              <w:t xml:space="preserve"> identity formation</w:t>
            </w:r>
            <w:r>
              <w:rPr>
                <w:rFonts w:ascii="Times New Roman" w:eastAsia="Times New Roman" w:hAnsi="Times New Roman" w:cs="Times New Roman"/>
                <w:i/>
                <w:iCs/>
                <w:color w:val="000000"/>
                <w:sz w:val="20"/>
                <w:szCs w:val="20"/>
                <w:lang w:val="en-US"/>
              </w:rPr>
              <w:t>,</w:t>
            </w:r>
            <w:r w:rsidRPr="006B5537">
              <w:rPr>
                <w:rFonts w:ascii="Times New Roman" w:eastAsia="Times New Roman" w:hAnsi="Times New Roman" w:cs="Times New Roman"/>
                <w:i/>
                <w:iCs/>
                <w:color w:val="000000"/>
                <w:sz w:val="20"/>
                <w:szCs w:val="20"/>
                <w:lang w:val="en-US"/>
              </w:rPr>
              <w:t xml:space="preserve"> school counseling</w:t>
            </w:r>
            <w:r>
              <w:rPr>
                <w:rFonts w:ascii="Times New Roman" w:eastAsia="Times New Roman" w:hAnsi="Times New Roman" w:cs="Times New Roman"/>
                <w:i/>
                <w:iCs/>
                <w:color w:val="000000"/>
                <w:sz w:val="20"/>
                <w:szCs w:val="20"/>
                <w:lang w:val="en-US"/>
              </w:rPr>
              <w:t>,</w:t>
            </w:r>
            <w:r w:rsidRPr="006B5537">
              <w:rPr>
                <w:rFonts w:ascii="Times New Roman" w:eastAsia="Times New Roman" w:hAnsi="Times New Roman" w:cs="Times New Roman"/>
                <w:i/>
                <w:iCs/>
                <w:color w:val="000000"/>
                <w:sz w:val="20"/>
                <w:szCs w:val="20"/>
                <w:lang w:val="en-US"/>
              </w:rPr>
              <w:t xml:space="preserve"> qualitative case study</w:t>
            </w:r>
            <w:r w:rsidRPr="006B5537">
              <w:rPr>
                <w:rFonts w:ascii="Times New Roman" w:eastAsia="Times New Roman" w:hAnsi="Times New Roman" w:cs="Times New Roman"/>
                <w:color w:val="000000"/>
                <w:sz w:val="20"/>
                <w:szCs w:val="20"/>
              </w:rPr>
              <w:t xml:space="preserve"> </w:t>
            </w:r>
            <w:r w:rsidR="009D4F60">
              <w:rPr>
                <w:noProof/>
              </w:rPr>
              <mc:AlternateContent>
                <mc:Choice Requires="wps">
                  <w:drawing>
                    <wp:anchor distT="0" distB="0" distL="114300" distR="114300" simplePos="0" relativeHeight="251666432" behindDoc="0" locked="0" layoutInCell="1" hidden="0" allowOverlap="1" wp14:anchorId="156D60DF" wp14:editId="202A1AF6">
                      <wp:simplePos x="0" y="0"/>
                      <wp:positionH relativeFrom="column">
                        <wp:posOffset>-63499</wp:posOffset>
                      </wp:positionH>
                      <wp:positionV relativeFrom="paragraph">
                        <wp:posOffset>558800</wp:posOffset>
                      </wp:positionV>
                      <wp:extent cx="0" cy="12700"/>
                      <wp:effectExtent l="0" t="0" r="0" b="0"/>
                      <wp:wrapNone/>
                      <wp:docPr id="1649595743" name="Straight Arrow Connector 1649595743"/>
                      <wp:cNvGraphicFramePr/>
                      <a:graphic xmlns:a="http://schemas.openxmlformats.org/drawingml/2006/main">
                        <a:graphicData uri="http://schemas.microsoft.com/office/word/2010/wordprocessingShape">
                          <wps:wsp>
                            <wps:cNvCnPr/>
                            <wps:spPr>
                              <a:xfrm>
                                <a:off x="4454143" y="3780000"/>
                                <a:ext cx="1783715" cy="0"/>
                              </a:xfrm>
                              <a:prstGeom prst="straightConnector1">
                                <a:avLst/>
                              </a:prstGeom>
                              <a:noFill/>
                              <a:ln w="12700" cap="flat" cmpd="sng">
                                <a:solidFill>
                                  <a:srgbClr val="0070C0"/>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-63499</wp:posOffset>
                      </wp:positionH>
                      <wp:positionV relativeFrom="paragraph">
                        <wp:posOffset>558800</wp:posOffset>
                      </wp:positionV>
                      <wp:extent cx="0" cy="12700"/>
                      <wp:effectExtent b="0" l="0" r="0" t="0"/>
                      <wp:wrapNone/>
                      <wp:docPr id="1649595743" name="image11.png"/>
                      <a:graphic>
                        <a:graphicData uri="http://schemas.openxmlformats.org/drawingml/2006/picture">
                          <pic:pic>
                            <pic:nvPicPr>
                              <pic:cNvPr id="0" name="image11.png"/>
                              <pic:cNvPicPr preferRelativeResize="0"/>
                            </pic:nvPicPr>
                            <pic:blipFill>
                              <a:blip r:embed="rId18"/>
                              <a:srcRect/>
                              <a:stretch>
                                <a:fillRect/>
                              </a:stretch>
                            </pic:blipFill>
                            <pic:spPr>
                              <a:xfrm>
                                <a:off x="0" y="0"/>
                                <a:ext cx="0" cy="12700"/>
                              </a:xfrm>
                              <a:prstGeom prst="rect"/>
                              <a:ln/>
                            </pic:spPr>
                          </pic:pic>
                        </a:graphicData>
                      </a:graphic>
                    </wp:anchor>
                  </w:drawing>
                </mc:Fallback>
              </mc:AlternateContent>
            </w:r>
          </w:p>
        </w:tc>
        <w:tc>
          <w:tcPr>
            <w:tcW w:w="6235" w:type="dxa"/>
            <w:vMerge/>
            <w:shd w:val="clear" w:color="auto" w:fill="E2EFD9"/>
          </w:tcPr>
          <w:p w14:paraId="2E95729C" w14:textId="77777777" w:rsidR="00DB4057" w:rsidRDefault="00DB4057">
            <w:pPr>
              <w:widowControl w:val="0"/>
              <w:pBdr>
                <w:top w:val="nil"/>
                <w:left w:val="nil"/>
                <w:bottom w:val="nil"/>
                <w:right w:val="nil"/>
                <w:between w:val="nil"/>
              </w:pBdr>
              <w:spacing w:line="276" w:lineRule="auto"/>
              <w:rPr>
                <w:rFonts w:ascii="Times New Roman" w:eastAsia="Times New Roman" w:hAnsi="Times New Roman" w:cs="Times New Roman"/>
                <w:b/>
                <w:color w:val="000000"/>
                <w:sz w:val="20"/>
                <w:szCs w:val="20"/>
              </w:rPr>
            </w:pPr>
          </w:p>
        </w:tc>
      </w:tr>
    </w:tbl>
    <w:p w14:paraId="3B01BD56" w14:textId="77777777" w:rsidR="00DB4057" w:rsidRDefault="00DB4057">
      <w:pPr>
        <w:spacing w:after="0" w:line="360" w:lineRule="auto"/>
        <w:rPr>
          <w:rFonts w:ascii="Times New Roman" w:eastAsia="Times New Roman" w:hAnsi="Times New Roman" w:cs="Times New Roman"/>
          <w:b/>
          <w:sz w:val="24"/>
          <w:szCs w:val="24"/>
        </w:rPr>
      </w:pPr>
    </w:p>
    <w:p w14:paraId="4CC950A7" w14:textId="4151E028" w:rsidR="00DB4057" w:rsidRPr="006B5537" w:rsidRDefault="006B5537" w:rsidP="006B5537">
      <w:pPr>
        <w:spacing w:after="0" w:line="36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lastRenderedPageBreak/>
        <w:t>Introduction</w:t>
      </w:r>
    </w:p>
    <w:p w14:paraId="76B5E53D" w14:textId="77777777" w:rsidR="00DC5EAE" w:rsidRDefault="006B5537" w:rsidP="00DC5EAE">
      <w:pPr>
        <w:spacing w:after="0" w:line="360" w:lineRule="auto"/>
        <w:ind w:firstLine="567"/>
        <w:jc w:val="both"/>
        <w:rPr>
          <w:rFonts w:ascii="Times New Roman" w:eastAsia="Times New Roman" w:hAnsi="Times New Roman" w:cs="Times New Roman"/>
          <w:sz w:val="24"/>
          <w:szCs w:val="24"/>
          <w:lang w:val="en-US"/>
        </w:rPr>
      </w:pPr>
      <w:r w:rsidRPr="006B5537">
        <w:rPr>
          <w:rFonts w:ascii="Times New Roman" w:eastAsia="Times New Roman" w:hAnsi="Times New Roman" w:cs="Times New Roman"/>
          <w:sz w:val="24"/>
          <w:szCs w:val="24"/>
          <w:lang w:val="en-US"/>
        </w:rPr>
        <w:t xml:space="preserve">Early adolescence, generally defined as the developmental period between ages 12 and 15, is a critical transition marked by profound biological, psychological, and social changes </w:t>
      </w:r>
      <w:r w:rsidRPr="006B5537">
        <w:rPr>
          <w:rFonts w:ascii="Times New Roman" w:eastAsia="Times New Roman" w:hAnsi="Times New Roman" w:cs="Times New Roman"/>
          <w:sz w:val="24"/>
          <w:szCs w:val="24"/>
          <w:lang w:val="en-US"/>
        </w:rPr>
        <w:fldChar w:fldCharType="begin"/>
      </w:r>
      <w:r w:rsidRPr="006B5537">
        <w:rPr>
          <w:rFonts w:ascii="Times New Roman" w:eastAsia="Times New Roman" w:hAnsi="Times New Roman" w:cs="Times New Roman"/>
          <w:sz w:val="24"/>
          <w:szCs w:val="24"/>
          <w:lang w:val="en-US"/>
        </w:rPr>
        <w:instrText xml:space="preserve"> ADDIN ZOTERO_ITEM CSL_CITATION {"citationID":"7YkP2BoD","properties":{"formattedCitation":"(Sawyer et al., 2018; Steinberg, 2017)","plainCitation":"(Sawyer et al., 2018; Steinberg, 2017)","noteIndex":0},"citationItems":[{"id":154,"uris":["http://zotero.org/users/local/YszQGxaT/items/K3F8V2XE"],"itemData":{"id":154,"type":"article-journal","abstract":"Adolescence is the phase of life stretching between childhood and adulthood, and its definition has long posed a conundrum. Adolescence encompasses elements of biological growth and major social role transitions, both of which have changed in the past century. Earlier puberty has accelerated the onset of adolescence in nearly all populations, while understanding of continued growth has lifted its endpoint age well into the 20s. In parallel, delayed timing of role transitions, including completion of education, marriage, and parenthood, continue to shift popular perceptions of when adulthood begins. Arguably, the transition period from childhood to adulthood now occupies a greater portion of the life course than ever before at a time when unprecedented social forces, including marketing and digital media, are affecting health and wellbeing across these years. An expanded and more inclusive definition of adolescence is essential for developmentally appropriate framing of laws, social policies, and service systems. Rather than age 10–19 years, a definition of 10–24 years corresponds more closely to adolescent growth and popular understandings of this life phase and would facilitate extended investments across a broader range of settings.","container-title":"The Lancet Child &amp; Adolescent Health","DOI":"10.1016/S2352-4642(18)30022-1","journalAbbreviation":"The Lancet Child &amp; Adolescent Health","source":"ResearchGate","title":"The age of adolescence","volume":"2","author":[{"family":"Sawyer","given":"Susan"},{"family":"Azzopardi","given":"Peter"},{"family":"Wickremarathne","given":"Dakshitha"},{"family":"Patton","given":"George"}],"issued":{"date-parts":[["2018",3,1]]}}},{"id":175,"uris":["http://zotero.org/users/local/YszQGxaT/items/2D7W4IGK"],"itemData":{"id":175,"type":"book","abstract":"\"As a well-respected researcher, Laurence Steinberg connects current research with real-world application, helping students see the similarities and differences in adolescent development across different social, economic, and cultural backgrounds. Through an integrated, personalized digital learning program, students gain the insight they need to study smarter, stay focused, and improve their performance.\"--Publisher's website.","ISBN":"978-1-259-76121-8","language":"en","note":"Google-Books-ID: naXnCwAAQBAJ","number-of-pages":"561","publisher":"McGraw-Hill US Higher Ed USE Legacy","source":"Google Books","title":"Adolescence","author":[{"family":"Steinberg","given":"Laurence"}],"issued":{"date-parts":[["2017"]]}}}],"schema":"https://github.com/citation-style-language/schema/raw/master/csl-citation.json"} </w:instrText>
      </w:r>
      <w:r w:rsidRPr="006B5537">
        <w:rPr>
          <w:rFonts w:ascii="Times New Roman" w:eastAsia="Times New Roman" w:hAnsi="Times New Roman" w:cs="Times New Roman"/>
          <w:sz w:val="24"/>
          <w:szCs w:val="24"/>
          <w:lang w:val="en-US"/>
        </w:rPr>
        <w:fldChar w:fldCharType="separate"/>
      </w:r>
      <w:r w:rsidRPr="006B5537">
        <w:rPr>
          <w:rFonts w:ascii="Times New Roman" w:eastAsia="Times New Roman" w:hAnsi="Times New Roman" w:cs="Times New Roman"/>
          <w:sz w:val="24"/>
          <w:szCs w:val="24"/>
          <w:lang w:val="en-US"/>
        </w:rPr>
        <w:t>(Sawyer et al., 2018; Steinberg, 2017)</w:t>
      </w:r>
      <w:r w:rsidRPr="006B5537">
        <w:rPr>
          <w:rFonts w:ascii="Times New Roman" w:eastAsia="Times New Roman" w:hAnsi="Times New Roman" w:cs="Times New Roman"/>
          <w:sz w:val="24"/>
          <w:szCs w:val="24"/>
        </w:rPr>
        <w:fldChar w:fldCharType="end"/>
      </w:r>
      <w:r w:rsidRPr="006B5537">
        <w:rPr>
          <w:rFonts w:ascii="Times New Roman" w:eastAsia="Times New Roman" w:hAnsi="Times New Roman" w:cs="Times New Roman"/>
          <w:sz w:val="24"/>
          <w:szCs w:val="24"/>
          <w:lang w:val="en-US"/>
        </w:rPr>
        <w:t xml:space="preserve">. During this stage, junior secondary school students experience rapid physical maturation, heightened emotional sensitivity, and expanding social expectations, while their capacities for self-regulation and emotional control are still emerging </w:t>
      </w:r>
      <w:r w:rsidRPr="006B5537">
        <w:rPr>
          <w:rFonts w:ascii="Times New Roman" w:eastAsia="Times New Roman" w:hAnsi="Times New Roman" w:cs="Times New Roman"/>
          <w:sz w:val="24"/>
          <w:szCs w:val="24"/>
          <w:lang w:val="en-US"/>
        </w:rPr>
        <w:fldChar w:fldCharType="begin"/>
      </w:r>
      <w:r w:rsidRPr="006B5537">
        <w:rPr>
          <w:rFonts w:ascii="Times New Roman" w:eastAsia="Times New Roman" w:hAnsi="Times New Roman" w:cs="Times New Roman"/>
          <w:sz w:val="24"/>
          <w:szCs w:val="24"/>
          <w:lang w:val="en-US"/>
        </w:rPr>
        <w:instrText xml:space="preserve"> ADDIN ZOTERO_ITEM CSL_CITATION {"citationID":"xl66xB0K","properties":{"formattedCitation":"(E. Crone &amp; Dahl, 2012; Zimmermann &amp; Iwanski, 2014)","plainCitation":"(E. Crone &amp; Dahl, 2012; Zimmermann &amp; Iwanski, 2014)","noteIndex":0},"citationItems":[{"id":125,"uris":["http://zotero.org/users/local/YszQGxaT/items/VUKM4M65"],"itemData":{"id":125,"type":"article-journal","abstract":"Research has demonstrated that extensive structural and functional brain development continues throughout adolescence. A popular notion emerging from this work states that a relative immaturity in frontal cortical neural systems could explain adolescents' high rates of risk-taking, substance use and other dangerous behaviours. However, developmental neuroimaging studies do not support a simple model of frontal cortical immaturity. Rather, growing evidence points to the importance of changes in social and affective processing, which begin around the onset of puberty, as crucial to understanding these adolescent vulnerabilities. These changes in social-affective processing also may confer some adaptive advantages, such as greater flexibility in adjusting one's intrinsic motivations and goal priorities amidst changing social contexts in adolescence.","container-title":"Nature reviews. Neuroscience","DOI":"10.1038/nrn3313","journalAbbreviation":"Nature reviews. Neuroscience","page":"636-50","source":"ResearchGate","title":"Understanding adolescence as a period of social-affective engagement and goal flexibility","volume":"13","author":[{"family":"Crone","given":"Eveline"},{"family":"Dahl","given":"Ronald"}],"issued":{"date-parts":[["2012",8,20]]}}},{"id":173,"uris":["http://zotero.org/users/local/YszQGxaT/items/WDE5H3YE"],"itemData":{"id":173,"type":"article-journal","abstract":"Despite the growing research on emotion regulation, the empirical evidence for normative age-related emotion regulation patterns is\nrather divergent. From a life-span perspective, normative age changes in emotion regulation may be more salient applying the same methodological\napproach on a broad age range examining both growth and decline during development. In addition, emotion-specific developmental\npatterns might show differential developmental trends. The present study examined age differences in seven emotion regulation\nstrategies from early adolescence (age 11) to middle adulthood (age 50) for the three emotions of sadness, fear, and anger. The results\nshowed specific developmental changes in the use of emotion regulation strategies for each of the three emotions. In addition, results\nsuggest age-specific increases and decreases in many emotion regulation strategies, with a general trend to increasing adaptive emotion\nregulation. Specifically, middle adolescence shows the smallest emotion regulation strategy repertoire. Gender differences appeared for\nmost emotion regulation strategies. The findings suggest that the development of emotion regulation should be studied in an emotionspecific\nmanner, as a perspective solely on general emotion regulation either under- or overestimates existing emotion-specific developmental\nchanges.","container-title":"International Journal of Behavioral Development","DOI":"10.1177/0165025413515405","journalAbbreviation":"International Journal of Behavioral Development","page":"182-194","source":"ResearchGate","title":"Emotion regulation from early adolescence to emerging adulthood and middle adulthood: Age differences, gender differences, and emotion-specific developmental variations","title-short":"Emotion regulation from early adolescence to emerging adulthood and middle adulthood","volume":"38","author":[{"family":"Zimmermann","given":"Peter"},{"family":"Iwanski","given":"Alexandra"}],"issued":{"date-parts":[["2014",2,19]]}}}],"schema":"https://github.com/citation-style-language/schema/raw/master/csl-citation.json"} </w:instrText>
      </w:r>
      <w:r w:rsidRPr="006B5537">
        <w:rPr>
          <w:rFonts w:ascii="Times New Roman" w:eastAsia="Times New Roman" w:hAnsi="Times New Roman" w:cs="Times New Roman"/>
          <w:sz w:val="24"/>
          <w:szCs w:val="24"/>
          <w:lang w:val="en-US"/>
        </w:rPr>
        <w:fldChar w:fldCharType="separate"/>
      </w:r>
      <w:r w:rsidRPr="006B5537">
        <w:rPr>
          <w:rFonts w:ascii="Times New Roman" w:eastAsia="Times New Roman" w:hAnsi="Times New Roman" w:cs="Times New Roman"/>
          <w:sz w:val="24"/>
          <w:szCs w:val="24"/>
          <w:lang w:val="en-US"/>
        </w:rPr>
        <w:t>(Crone &amp; Dahl, 2012; Zimmermann &amp; Iwanski, 2014)</w:t>
      </w:r>
      <w:r w:rsidRPr="006B5537">
        <w:rPr>
          <w:rFonts w:ascii="Times New Roman" w:eastAsia="Times New Roman" w:hAnsi="Times New Roman" w:cs="Times New Roman"/>
          <w:sz w:val="24"/>
          <w:szCs w:val="24"/>
        </w:rPr>
        <w:fldChar w:fldCharType="end"/>
      </w:r>
      <w:r w:rsidRPr="006B5537">
        <w:rPr>
          <w:rFonts w:ascii="Times New Roman" w:eastAsia="Times New Roman" w:hAnsi="Times New Roman" w:cs="Times New Roman"/>
          <w:sz w:val="24"/>
          <w:szCs w:val="24"/>
          <w:lang w:val="en-US"/>
        </w:rPr>
        <w:t xml:space="preserve">. This developmental imbalance leaves early adolescents particularly vulnerable, making emotional development one of the most dynamic and fragile aspects of their overall growth </w:t>
      </w:r>
      <w:r w:rsidRPr="006B5537">
        <w:rPr>
          <w:rFonts w:ascii="Times New Roman" w:eastAsia="Times New Roman" w:hAnsi="Times New Roman" w:cs="Times New Roman"/>
          <w:sz w:val="24"/>
          <w:szCs w:val="24"/>
          <w:lang w:val="en-US"/>
        </w:rPr>
        <w:fldChar w:fldCharType="begin"/>
      </w:r>
      <w:r w:rsidRPr="006B5537">
        <w:rPr>
          <w:rFonts w:ascii="Times New Roman" w:eastAsia="Times New Roman" w:hAnsi="Times New Roman" w:cs="Times New Roman"/>
          <w:sz w:val="24"/>
          <w:szCs w:val="24"/>
          <w:lang w:val="en-US"/>
        </w:rPr>
        <w:instrText xml:space="preserve"> ADDIN ZOTERO_ITEM CSL_CITATION {"citationID":"PKsqxLn8","properties":{"formattedCitation":"(Arnett, 2015)","plainCitation":"(Arnett, 2015)","noteIndex":0},"citationItems":[{"id":120,"uris":["http://zotero.org/users/local/YszQGxaT/items/2L9UK4GS"],"itemData":{"id":120,"type":"book","abstract":"Since 1960, the lives of young people in their late teens and twenties have changed so dramatically that a new stage of life has developed. In his provocative work, Jeffrey Jensen Arnett has identified the period of emerging adulthood as distinct from both the adolescence that precedes it and the young adulthood that comes in its wake. Arnett's new theory has created an entire thriving field of research due to his book that launched the field, Emerging Adulthood.\n\nOn the 10th Anniversary of the publication of his groundbreaking work, the second edition of Emerging Adulthood fully updates and expands Arnett's findings and includes brand new chapters on media use, social class issues, and the distinctive problems of this life stage. Merging stories from the lives of emerging adults themselves with decades of research, Arnett covers a wide range of other topics as well, including love and sex, relationships with parents, experiences at college and work, and views of what it means to be an adult. As the nature of growing up and the meaning of adulthood further evolve, Emerging Adulthood will continue to be essential reading for understanding ages 18-29.","ISBN":"978-0-19-992938-2","note":"DOI: 10.1093/acprof:oso/9780199929382.001.0001","source":"ResearchGate","title":"Emerging Adulthood: The Winding Road from the Late Teens Through the Twenties (2nd edition)","title-short":"Emerging Adulthood","author":[{"family":"Arnett","given":"Jeffrey"}],"issued":{"date-parts":[["2015"]]}}}],"schema":"https://github.com/citation-style-language/schema/raw/master/csl-citation.json"} </w:instrText>
      </w:r>
      <w:r w:rsidRPr="006B5537">
        <w:rPr>
          <w:rFonts w:ascii="Times New Roman" w:eastAsia="Times New Roman" w:hAnsi="Times New Roman" w:cs="Times New Roman"/>
          <w:sz w:val="24"/>
          <w:szCs w:val="24"/>
          <w:lang w:val="en-US"/>
        </w:rPr>
        <w:fldChar w:fldCharType="separate"/>
      </w:r>
      <w:r w:rsidRPr="006B5537">
        <w:rPr>
          <w:rFonts w:ascii="Times New Roman" w:eastAsia="Times New Roman" w:hAnsi="Times New Roman" w:cs="Times New Roman"/>
          <w:sz w:val="24"/>
          <w:szCs w:val="24"/>
          <w:lang w:val="en-US"/>
        </w:rPr>
        <w:t>(Arnett, 2015)</w:t>
      </w:r>
      <w:r w:rsidRPr="006B5537">
        <w:rPr>
          <w:rFonts w:ascii="Times New Roman" w:eastAsia="Times New Roman" w:hAnsi="Times New Roman" w:cs="Times New Roman"/>
          <w:sz w:val="24"/>
          <w:szCs w:val="24"/>
        </w:rPr>
        <w:fldChar w:fldCharType="end"/>
      </w:r>
      <w:r w:rsidRPr="006B5537">
        <w:rPr>
          <w:rFonts w:ascii="Times New Roman" w:eastAsia="Times New Roman" w:hAnsi="Times New Roman" w:cs="Times New Roman"/>
          <w:sz w:val="24"/>
          <w:szCs w:val="24"/>
          <w:lang w:val="en-US"/>
        </w:rPr>
        <w:t>.</w:t>
      </w:r>
    </w:p>
    <w:p w14:paraId="560C8D1D" w14:textId="77777777" w:rsidR="00DC5EAE" w:rsidRDefault="006B5537" w:rsidP="00DC5EAE">
      <w:pPr>
        <w:spacing w:after="0" w:line="360" w:lineRule="auto"/>
        <w:ind w:firstLine="567"/>
        <w:jc w:val="both"/>
        <w:rPr>
          <w:rFonts w:ascii="Times New Roman" w:eastAsia="Times New Roman" w:hAnsi="Times New Roman" w:cs="Times New Roman"/>
          <w:sz w:val="24"/>
          <w:szCs w:val="24"/>
          <w:lang w:val="en-US"/>
        </w:rPr>
      </w:pPr>
      <w:r w:rsidRPr="006B5537">
        <w:rPr>
          <w:rFonts w:ascii="Times New Roman" w:eastAsia="Times New Roman" w:hAnsi="Times New Roman" w:cs="Times New Roman"/>
          <w:sz w:val="24"/>
          <w:szCs w:val="24"/>
          <w:lang w:val="en-US"/>
        </w:rPr>
        <w:t xml:space="preserve">Empirical studies consistently show that emotional development in early adolescence is characterized by emotional volatility, heightened reactivity, and fluctuating affective states </w:t>
      </w:r>
      <w:r w:rsidRPr="006B5537">
        <w:rPr>
          <w:rFonts w:ascii="Times New Roman" w:eastAsia="Times New Roman" w:hAnsi="Times New Roman" w:cs="Times New Roman"/>
          <w:sz w:val="24"/>
          <w:szCs w:val="24"/>
          <w:lang w:val="en-US"/>
        </w:rPr>
        <w:fldChar w:fldCharType="begin"/>
      </w:r>
      <w:r w:rsidRPr="006B5537">
        <w:rPr>
          <w:rFonts w:ascii="Times New Roman" w:eastAsia="Times New Roman" w:hAnsi="Times New Roman" w:cs="Times New Roman"/>
          <w:sz w:val="24"/>
          <w:szCs w:val="24"/>
          <w:lang w:val="en-US"/>
        </w:rPr>
        <w:instrText xml:space="preserve"> ADDIN ZOTERO_ITEM CSL_CITATION {"citationID":"THjy42vK","properties":{"unsorted":true,"formattedCitation":"(Silvers, 2016; McLaughlin et al., 2019)","plainCitation":"(Silvers, 2016; McLaughlin et al., 2019)","noteIndex":0},"citationItems":[{"id":155,"uris":["http://zotero.org/users/local/YszQGxaT/items/94BRKLKA"],"itemData":{"id":155,"type":"article-journal","abstract":"Adolescence is a dynamic period for the development of emotion regulation. For many individuals, emotion regulation skills improve dramatically during adolescence; however, for some youth, adolescence marks the beginning or worsening of psychopathology characterized by difficulties with emotion regulation. In the present review, I describe evidence that caregiving experiences play an outsized role in shaping interindividual variability in emotion regulation during adolescence. After describing work demonstrating links between caregiving – with an emphasis on parental socialization practices – and emotion regulation outcomes, I characterize our current understanding of how behavioral and neurobiological indices of emotion regulation develop normatively across adolescence. Using cognitive reappraisal as an exemplar emotion regulation strategy, I outline ways that caregiving might impact interindividual variability in emotion regulation neurodevelopment. I conclude by identifying two key future directions for adolescent emotion regulation research.","container-title":"Current Opinion in Psychology","DOI":"10.1016/j.copsyc.2021.09.023","ISSN":"2352-250X","journalAbbreviation":"Current Opinion in Psychology","page":"258-263","source":"ScienceDirect","title":"Adolescence as a pivotal period for emotion regulation development","volume":"44","author":[{"family":"Silvers","given":"Jennifer A."}],"issued":{"date-parts":[["2016"]]}}},{"id":140,"uris":["http://zotero.org/users/local/YszQGxaT/items/TR76KM6F"],"itemData":{"id":140,"type":"article-journal","abstract":"Adolescence is a phase of the lifespan associated with widespread changes in emotional behavior thought to reflect both changing environments and stressors, and psychological and neurobiological development. However, emotions themselves are complex phenomena that are composed of multiple subprocesses. In this paper, we argue that examining emotional development from a process-level perspective facilitates important insights into the mechanisms that underlie adolescents' shifting emotions and intensified risk for psychopathology. Contrasting the developmental progressions for the antecedents to emotion, physiological reactivity to emotion, emotional regulation capacity, and motivation to experience particular affective states reveals complex trajectories that intersect in a unique way during adolescence. We consider the implications of these intersecting trajectories for negative outcomes such as psychopathology, as well as positive outcomes for adolescent social bonds.","container-title":"Dialogues in Clinical Neuroscience","DOI":"10.31887/DCNS.2015.17.4/kmclaughlin","ISSN":"1294-8322","issue":"4","journalAbbreviation":"Dialogues Clin Neurosci","note":"PMID: 26869841\nPMCID: PMC4734878","page":"403-410","source":"PubMed Central","title":"What develops during emotional development? A component process approach to identifying sources of psychopathology risk in adolescence","title-short":"What develops during emotional development?","volume":"17","author":[{"family":"McLaughlin","given":"Katie A."},{"family":"Garrad","given":"Megan C."},{"family":"Somerville","given":"Leah H."}],"issued":{"date-parts":[["2019"]]}}}],"schema":"https://github.com/citation-style-language/schema/raw/master/csl-citation.json"} </w:instrText>
      </w:r>
      <w:r w:rsidRPr="006B5537">
        <w:rPr>
          <w:rFonts w:ascii="Times New Roman" w:eastAsia="Times New Roman" w:hAnsi="Times New Roman" w:cs="Times New Roman"/>
          <w:sz w:val="24"/>
          <w:szCs w:val="24"/>
          <w:lang w:val="en-US"/>
        </w:rPr>
        <w:fldChar w:fldCharType="separate"/>
      </w:r>
      <w:r w:rsidRPr="006B5537">
        <w:rPr>
          <w:rFonts w:ascii="Times New Roman" w:eastAsia="Times New Roman" w:hAnsi="Times New Roman" w:cs="Times New Roman"/>
          <w:sz w:val="24"/>
          <w:szCs w:val="24"/>
          <w:lang w:val="en-US"/>
        </w:rPr>
        <w:t>(Silvers, 2016; McLaughlin et al., 2019)</w:t>
      </w:r>
      <w:r w:rsidRPr="006B5537">
        <w:rPr>
          <w:rFonts w:ascii="Times New Roman" w:eastAsia="Times New Roman" w:hAnsi="Times New Roman" w:cs="Times New Roman"/>
          <w:sz w:val="24"/>
          <w:szCs w:val="24"/>
        </w:rPr>
        <w:fldChar w:fldCharType="end"/>
      </w:r>
      <w:r w:rsidRPr="006B5537">
        <w:rPr>
          <w:rFonts w:ascii="Times New Roman" w:eastAsia="Times New Roman" w:hAnsi="Times New Roman" w:cs="Times New Roman"/>
          <w:sz w:val="24"/>
          <w:szCs w:val="24"/>
          <w:lang w:val="en-US"/>
        </w:rPr>
        <w:t xml:space="preserve">. Hormonal changes associated with puberty interact with cognitive immaturity and escalating academic and social demands, often resulting in impulsive emotional responses and difficulties with emotion regulation </w:t>
      </w:r>
      <w:r w:rsidRPr="006B5537">
        <w:rPr>
          <w:rFonts w:ascii="Times New Roman" w:eastAsia="Times New Roman" w:hAnsi="Times New Roman" w:cs="Times New Roman"/>
          <w:sz w:val="24"/>
          <w:szCs w:val="24"/>
          <w:lang w:val="en-US"/>
        </w:rPr>
        <w:fldChar w:fldCharType="begin"/>
      </w:r>
      <w:r w:rsidRPr="006B5537">
        <w:rPr>
          <w:rFonts w:ascii="Times New Roman" w:eastAsia="Times New Roman" w:hAnsi="Times New Roman" w:cs="Times New Roman"/>
          <w:sz w:val="24"/>
          <w:szCs w:val="24"/>
          <w:lang w:val="en-US"/>
        </w:rPr>
        <w:instrText xml:space="preserve"> ADDIN ZOTERO_ITEM CSL_CITATION {"citationID":"0Cf0Nv2H","properties":{"unsorted":true,"formattedCitation":"(Somerville et al., 2010; Gross, 2015)","plainCitation":"(Somerville et al., 2010; Gross, 2015)","noteIndex":0},"citationItems":[{"id":158,"uris":["http://zotero.org/users/local/YszQGxaT/items/5XT2CNJ7"],"itemData":{"id":158,"type":"article-journal","abstract":"Adolescence is a developmental period that entails substantial changes in affective and incentive-seeking behavior relative to both childhood and adulthood, including a heightened propensity to engage in risky behaviors and experience persistent negative and labile mood states. This review discusses the emotional and incentive-driven behavioral changes in adolescents and their associated neural mechanisms, focusing on the dynamic interactions between the amygdala, ventral striatum, and prefrontal cortex. Common behavioral changes during adolescence may be associated with a heightened responsiveness to incentives and emotional cues while the capacity to effectively engage in cognitive and emotion regulation is still relatively immature. We highlight empirical work in humans and animals that addresses the interactions between these neural systems in adolescents relative to children and adults, and propose a neurobiological model that may account for the nonlinear changes in adolescent behavior. Finally, we discuss other influences that may contribute to exaggerated reward and emotion processing associated with adolescence, including hormonal fluctuations and the role of the social environment.","container-title":"Brain and Cognition","DOI":"10.1016/j.bandc.2009.07.003","ISSN":"1090-2147","issue":"1","journalAbbreviation":"Brain Cogn","language":"eng","note":"PMID: 19695759\nPMCID: PMC2814936","page":"124-133","source":"PubMed","title":"A time of change: behavioral and neural correlates of adolescent sensitivity to appetitive and aversive environmental cues","title-short":"A time of change","volume":"72","author":[{"family":"Somerville","given":"Leah H."},{"family":"Jones","given":"Rebecca M."},{"family":"Casey","given":"B. J."}],"issued":{"date-parts":[["2010",2]]}}},{"id":114,"uris":["http://zotero.org/users/local/YszQGxaT/items/8CRP43WU"],"itemData":{"id":114,"type":"article-journal","abstract":"One of the fastest growing areas within psychology is the field of emotion regulation. However, enthusiasm for this topic continues to outstrip conceptual clarity, and there remains considerable uncertainty as to what is even meant by “emotion regulation.” The goal of this review is to examine the current status and future prospects of this rapidly growing field. In the first section, I define emotion and emotion regulation and distinguish both from related constructs. In the second section, I use the process model of emotion regulation to selectively review evidence that different regulation strategies have different consequences. In the third section, I introduce the extended process model of emotion regulation; this model considers emotion regulation to be one type of valuation, and distinguishes three emotion regulation stages (identification, selection, implementation). In the final section, I consider five key growth points for the field of emotion regulation.","container-title":"Psychological Inquiry","DOI":"10.1080/1047840X.2014.940781","ISSN":"1047-840X","issue":"1","note":"publisher: Routledge\n_eprint: https://doi.org/10.1080/1047840X.2014.940781","page":"1-26","source":"Taylor and Francis+NEJM","title":"Emotion Regulation: Current Status and Future Prospects","title-short":"Emotion Regulation","volume":"26","author":[{"family":"Gross","given":"James J."}],"issued":{"date-parts":[["2015",1,2]]}}}],"schema":"https://github.com/citation-style-language/schema/raw/master/csl-citation.json"} </w:instrText>
      </w:r>
      <w:r w:rsidRPr="006B5537">
        <w:rPr>
          <w:rFonts w:ascii="Times New Roman" w:eastAsia="Times New Roman" w:hAnsi="Times New Roman" w:cs="Times New Roman"/>
          <w:sz w:val="24"/>
          <w:szCs w:val="24"/>
          <w:lang w:val="en-US"/>
        </w:rPr>
        <w:fldChar w:fldCharType="separate"/>
      </w:r>
      <w:r w:rsidRPr="006B5537">
        <w:rPr>
          <w:rFonts w:ascii="Times New Roman" w:eastAsia="Times New Roman" w:hAnsi="Times New Roman" w:cs="Times New Roman"/>
          <w:sz w:val="24"/>
          <w:szCs w:val="24"/>
          <w:lang w:val="en-US"/>
        </w:rPr>
        <w:t>(Somerville et al., 2010; Gross, 2015)</w:t>
      </w:r>
      <w:r w:rsidRPr="006B5537">
        <w:rPr>
          <w:rFonts w:ascii="Times New Roman" w:eastAsia="Times New Roman" w:hAnsi="Times New Roman" w:cs="Times New Roman"/>
          <w:sz w:val="24"/>
          <w:szCs w:val="24"/>
        </w:rPr>
        <w:fldChar w:fldCharType="end"/>
      </w:r>
      <w:r w:rsidRPr="006B5537">
        <w:rPr>
          <w:rFonts w:ascii="Times New Roman" w:eastAsia="Times New Roman" w:hAnsi="Times New Roman" w:cs="Times New Roman"/>
          <w:sz w:val="24"/>
          <w:szCs w:val="24"/>
          <w:lang w:val="en-US"/>
        </w:rPr>
        <w:t xml:space="preserve">. At the same time, adolescents begin to engage more actively in identity exploration, negotiating questions related to self-concept, social recognition, and belonging within peer groups </w:t>
      </w:r>
      <w:r w:rsidRPr="006B5537">
        <w:rPr>
          <w:rFonts w:ascii="Times New Roman" w:eastAsia="Times New Roman" w:hAnsi="Times New Roman" w:cs="Times New Roman"/>
          <w:sz w:val="24"/>
          <w:szCs w:val="24"/>
          <w:lang w:val="en-US"/>
        </w:rPr>
        <w:fldChar w:fldCharType="begin"/>
      </w:r>
      <w:r w:rsidRPr="006B5537">
        <w:rPr>
          <w:rFonts w:ascii="Times New Roman" w:eastAsia="Times New Roman" w:hAnsi="Times New Roman" w:cs="Times New Roman"/>
          <w:sz w:val="24"/>
          <w:szCs w:val="24"/>
          <w:lang w:val="en-US"/>
        </w:rPr>
        <w:instrText xml:space="preserve"> ADDIN ZOTERO_ITEM CSL_CITATION {"citationID":"Wkzqbr6K","properties":{"formattedCitation":"(Erikson, 1968; Schwartz et al., 2015)","plainCitation":"(Erikson, 1968; Schwartz et al., 2015)","noteIndex":0},"citationItems":[{"id":177,"uris":["http://zotero.org/users/local/YszQGxaT/items/YYLRAN6S"],"itemData":{"id":177,"type":"book","abstract":"Identity: Youth and Crisis collects Erik H. Erikson's major essays on topics originating in the concept of the adolescent identity crisis. Identity, Erikson writes, is an unfathomable as it is all-pervasive. It deals with a process that is located both in the core of the individual and in the core of the communal culture. As the culture changes, new kinds of identity questions arise—Erikson comments, for example, on issues of social protest and changing gender roles that were particular to the 1960s.  Representing two decades of groundbreaking work, the essays are not so much a systematic formulation of theory as an evolving report that is both clinical and theoretical. The subjects range from \"creative confusion\" in two famous lives—the dramatist George Bernard Shaw and the philosopher William James—to the connection between individual struggles and social order. \"Race and the Wider Identity\" and the controversial \"Womanhood and the Inner Space\" are included in the collection.","ISBN":"978-0-393-31144-0","language":"en","note":"Google-Books-ID: nGqc6JxV0aQC","number-of-pages":"339","publisher":"W. W. Norton","source":"Google Books","title":"Identity Youth and Crisis","author":[{"family":"Erikson","given":"Erik H."}],"issued":{"date-parts":[["1968"]]}}},{"id":107,"uris":["http://zotero.org/users/local/YszQGxaT/items/H5D653HJ"],"itemData":{"id":107,"type":"article-journal","abstract":"The present study was conducted to contribute to our understanding of young adult identity development by deriving latent profiles from intrapersonal and interpersonal indices of identity synthesis and confusion. A sample of 9737 college-attending young adults completed measures of identity, mental health, and health risk behaviors. Four latent profiles emerged: Synthesized (high synthesis, low confusion), Diffused (moderate synthesis, high confusion), Elevated (high synthesis and confusion), and Moderate (moderate synthesis and confusion). The Synthesized profile was associated with the highest well-being and the lowest levels of internalizing, externalizing, and health risks. The Diffused and Elevated profiles were both associated with low well-being and with high internalizing, externalizing, and risky behaviors — with the Elevated profile highest on all of the negative outcomes. The Moderate profile scored intermediately on well-being, internalizing, externalizing, and health risks. These results are discussed in terms of the role of identity within a successful transition to adulthood.","container-title":"Journal of Applied Developmental Psychology","DOI":"10.1016/j.appdev.2014.10.001","ISSN":"0193-3973","journalAbbreviation":"Journal of Applied Developmental Psychology","page":"39-52","source":"ScienceDirect","title":"Identity in young adulthood: Links with mental health and risky behavior","title-short":"Identity in young adulthood","volume":"36","author":[{"family":"Schwartz","given":"Seth J."},{"family":"Hardy","given":"Sam A."},{"family":"Zamboanga","given":"Byron L."},{"family":"Meca","given":"Alan"},{"family":"Waterman","given":"Alan S."},{"family":"Picariello","given":"Simona"},{"family":"Luyckx","given":"Koen"},{"family":"Crocetti","given":"Elisabetta"},{"family":"Kim","given":"Su Yeong"},{"family":"Brittian","given":"Aerika S."},{"family":"Roberts","given":"Sharon E."},{"family":"Whitbourne","given":"Susan Krauss"},{"family":"Ritchie","given":"Rachel A."},{"family":"Brown","given":"Elissa J."},{"family":"Forthun","given":"Larry F."}],"issued":{"date-parts":[["2015",1,1]]}}}],"schema":"https://github.com/citation-style-language/schema/raw/master/csl-citation.json"} </w:instrText>
      </w:r>
      <w:r w:rsidRPr="006B5537">
        <w:rPr>
          <w:rFonts w:ascii="Times New Roman" w:eastAsia="Times New Roman" w:hAnsi="Times New Roman" w:cs="Times New Roman"/>
          <w:sz w:val="24"/>
          <w:szCs w:val="24"/>
          <w:lang w:val="en-US"/>
        </w:rPr>
        <w:fldChar w:fldCharType="separate"/>
      </w:r>
      <w:r w:rsidRPr="006B5537">
        <w:rPr>
          <w:rFonts w:ascii="Times New Roman" w:eastAsia="Times New Roman" w:hAnsi="Times New Roman" w:cs="Times New Roman"/>
          <w:sz w:val="24"/>
          <w:szCs w:val="24"/>
          <w:lang w:val="en-US"/>
        </w:rPr>
        <w:t>(Erikson, 1968; Schwartz et al., 2015)</w:t>
      </w:r>
      <w:r w:rsidRPr="006B5537">
        <w:rPr>
          <w:rFonts w:ascii="Times New Roman" w:eastAsia="Times New Roman" w:hAnsi="Times New Roman" w:cs="Times New Roman"/>
          <w:sz w:val="24"/>
          <w:szCs w:val="24"/>
        </w:rPr>
        <w:fldChar w:fldCharType="end"/>
      </w:r>
      <w:r w:rsidRPr="006B5537">
        <w:rPr>
          <w:rFonts w:ascii="Times New Roman" w:eastAsia="Times New Roman" w:hAnsi="Times New Roman" w:cs="Times New Roman"/>
          <w:sz w:val="24"/>
          <w:szCs w:val="24"/>
          <w:lang w:val="en-US"/>
        </w:rPr>
        <w:t xml:space="preserve">. This identity formation process frequently generates emotional confusion, interpersonal tension, and internal conflict, which may manifest as aggression, withdrawal, or academic disengagement </w:t>
      </w:r>
      <w:r w:rsidRPr="006B5537">
        <w:rPr>
          <w:rFonts w:ascii="Times New Roman" w:eastAsia="Times New Roman" w:hAnsi="Times New Roman" w:cs="Times New Roman"/>
          <w:sz w:val="24"/>
          <w:szCs w:val="24"/>
          <w:lang w:val="en-US"/>
        </w:rPr>
        <w:fldChar w:fldCharType="begin"/>
      </w:r>
      <w:r w:rsidRPr="006B5537">
        <w:rPr>
          <w:rFonts w:ascii="Times New Roman" w:eastAsia="Times New Roman" w:hAnsi="Times New Roman" w:cs="Times New Roman"/>
          <w:sz w:val="24"/>
          <w:szCs w:val="24"/>
          <w:lang w:val="en-US"/>
        </w:rPr>
        <w:instrText xml:space="preserve"> ADDIN ZOTERO_ITEM CSL_CITATION {"citationID":"bwAG429V","properties":{"formattedCitation":"(Nashon et al., 2025; Nurmila et al., 2025)","plainCitation":"(Nashon et al., 2025; Nurmila et al., 2025)","noteIndex":0},"citationItems":[{"id":96,"uris":["http://zotero.org/users/local/YszQGxaT/items/KJA5VQ83"],"itemData":{"id":96,"type":"article-journal","container-title":"Journal of Humanities and Social Sciences Research Practice","issue":"1","source":"Google Scholar","title":"Development of adolescents as sources of conflict between students and teachers in secondary schools","URL":"https://journals.iaa.ac.tz/index.php/jhssrp/article/view/508","volume":"1","author":[{"family":"Nashon","given":"Richard"},{"family":"Metta","given":"Emmy"},{"family":"Chande-Mallya","given":"Rehema"}],"accessed":{"date-parts":[["2025",12,19]]},"issued":{"date-parts":[["2025"]]}}},{"id":80,"uris":["http://zotero.org/users/local/YszQGxaT/items/NGFEEIGM"],"itemData":{"id":80,"type":"article-journal","abstract":"The phenomenon of negative behavior among students (santri) in Islamic boarding schools (pesantren), such as bullying, violence against teachers, and promiscuity, has become an increasing concern in Islamic education. Pesantren, traditionally regarded as institutions of moral and spiritual development, are now facing complex psychosocial challenges among their students. This study aims to analyze the psychological and social factors that underlie deviant behaviors among santri. The research employs a qualitative-descriptive method using a case study approach in several pesantren across Indonesia. Data were collected through observation, in-depth interviews with students, teachers, and caretakers, as well as document analysis. The findings reveal that negative behaviors are influenced by family background, peer group dynamics, weak supervision, and the lack of psychological-based educational approaches within pesantren. Violence against teachers often stems from imbalanced power relations, while promiscuity arises from exposure to social media and inadequate value-based control. In conclusion, a holistic educational approach grounded in psychology and Islamic values needs to be strengthened to address these issues both preventively and rehabilitatively.","container-title":"NUSRA : Jurnal Penelitian dan Ilmu Pendidikan","DOI":"10.55681/nusra.v6i3.3752","ISSN":"2723-4649","issue":"3","language":"en","license":"Copyright (c) 2025 Nurmila, Ahmad Syauky, Miftahul Jannah","page":"453-467","source":"ejournal.nusantaraglobal.ac.id","title":"Psychosocial analysis of adolescent negative behaviour in educational settings","volume":"6","author":[{"family":"Nurmila","given":"Nurmila"},{"family":"Syauky","given":"Ahmad"},{"family":"Jannah","given":"Miftahul"}],"issued":{"date-parts":[["2025",8,3]]}}}],"schema":"https://github.com/citation-style-language/schema/raw/master/csl-citation.json"} </w:instrText>
      </w:r>
      <w:r w:rsidRPr="006B5537">
        <w:rPr>
          <w:rFonts w:ascii="Times New Roman" w:eastAsia="Times New Roman" w:hAnsi="Times New Roman" w:cs="Times New Roman"/>
          <w:sz w:val="24"/>
          <w:szCs w:val="24"/>
          <w:lang w:val="en-US"/>
        </w:rPr>
        <w:fldChar w:fldCharType="separate"/>
      </w:r>
      <w:r w:rsidRPr="006B5537">
        <w:rPr>
          <w:rFonts w:ascii="Times New Roman" w:eastAsia="Times New Roman" w:hAnsi="Times New Roman" w:cs="Times New Roman"/>
          <w:sz w:val="24"/>
          <w:szCs w:val="24"/>
          <w:lang w:val="en-US"/>
        </w:rPr>
        <w:t>(Nashon et al., 2025; Nurmila et al., 2025)</w:t>
      </w:r>
      <w:r w:rsidRPr="006B5537">
        <w:rPr>
          <w:rFonts w:ascii="Times New Roman" w:eastAsia="Times New Roman" w:hAnsi="Times New Roman" w:cs="Times New Roman"/>
          <w:sz w:val="24"/>
          <w:szCs w:val="24"/>
        </w:rPr>
        <w:fldChar w:fldCharType="end"/>
      </w:r>
      <w:r w:rsidRPr="006B5537">
        <w:rPr>
          <w:rFonts w:ascii="Times New Roman" w:eastAsia="Times New Roman" w:hAnsi="Times New Roman" w:cs="Times New Roman"/>
          <w:sz w:val="24"/>
          <w:szCs w:val="24"/>
          <w:lang w:val="en-US"/>
        </w:rPr>
        <w:t>.</w:t>
      </w:r>
    </w:p>
    <w:p w14:paraId="3DE985AA" w14:textId="77777777" w:rsidR="00DC5EAE" w:rsidRDefault="006B5537" w:rsidP="00DC5EAE">
      <w:pPr>
        <w:spacing w:after="0" w:line="360" w:lineRule="auto"/>
        <w:ind w:firstLine="567"/>
        <w:jc w:val="both"/>
        <w:rPr>
          <w:rFonts w:ascii="Times New Roman" w:eastAsia="Times New Roman" w:hAnsi="Times New Roman" w:cs="Times New Roman"/>
          <w:sz w:val="24"/>
          <w:szCs w:val="24"/>
          <w:lang w:val="en-US"/>
        </w:rPr>
      </w:pPr>
      <w:r w:rsidRPr="006B5537">
        <w:rPr>
          <w:rFonts w:ascii="Times New Roman" w:eastAsia="Times New Roman" w:hAnsi="Times New Roman" w:cs="Times New Roman"/>
          <w:sz w:val="24"/>
          <w:szCs w:val="24"/>
          <w:lang w:val="en-US"/>
        </w:rPr>
        <w:t xml:space="preserve">A growing body of research underscores the central role of emotional regulation in shaping adolescents’ engagement in learning and social adjustment. Students who struggle to regulate their emotions effectively are more likely to experience reduced motivation, difficulty concentrating, problematic peer relationships, and heightened vulnerability to psychological distress </w:t>
      </w:r>
      <w:r w:rsidRPr="006B5537">
        <w:rPr>
          <w:rFonts w:ascii="Times New Roman" w:eastAsia="Times New Roman" w:hAnsi="Times New Roman" w:cs="Times New Roman"/>
          <w:sz w:val="24"/>
          <w:szCs w:val="24"/>
          <w:lang w:val="en-US"/>
        </w:rPr>
        <w:fldChar w:fldCharType="begin"/>
      </w:r>
      <w:r w:rsidRPr="006B5537">
        <w:rPr>
          <w:rFonts w:ascii="Times New Roman" w:eastAsia="Times New Roman" w:hAnsi="Times New Roman" w:cs="Times New Roman"/>
          <w:sz w:val="24"/>
          <w:szCs w:val="24"/>
          <w:lang w:val="en-US"/>
        </w:rPr>
        <w:instrText xml:space="preserve"> ADDIN ZOTERO_ITEM CSL_CITATION {"citationID":"osk2BxQb","properties":{"unsorted":true,"formattedCitation":"(Rueger et al., 2016; Mizan &amp; Uce, 2025)","plainCitation":"(Rueger et al., 2016; Mizan &amp; Uce, 2025)","noteIndex":0},"citationItems":[{"id":115,"uris":["http://zotero.org/users/local/YszQGxaT/items/CIQZN7V8"],"itemData":{"id":115,"type":"article-journal","abstract":"This meta-analysis evaluated the relation between social support and depression in youth and compared the cumulative evidence for 2 theories that have been proposed to explain this association: the general benefits (GB; also known as main effects) and stress-buffering (SB) models. The study included 341 articles (19% unpublished) gathered through a search in PsycINFO, PsycARTICLES, ERIC, and ProQuest, and a hand search of 11 relevant journals. Using a random effects model, the overall effect size based on k = 341 studies and N = 273,149 participants was r = .26 (95% CI [.24, .28]), with robust support for the GB model and support for the SB model among medically ill youth. Stress-buffering analyses suggest that different stressful contexts may not allow youth to fully draw on the benefits of social support, and we propose value in seeking to better understand both stress-buffering (effects of social support are enhanced) and reverse stress-buffering (effects of social support are dampened) processes. Key findings regarding other moderators include a different pattern of effect sizes across various sources of support. In addition, gender differences were largely absent from this study, suggesting that social support may be a more critical resource for boys than is typically acknowledged. Results also demonstrated the importance of using instruments with adequate psychometric support, with careful consideration of methodological and conceptual issues. Building upon these collective findings, we provide recommendations for theory and practice, as well as recommendations for addressing limitations in the extant literature to guide future investigations. (PsycInfo Database Record (c) 2025 APA, all rights reserved)","container-title":"Psychological Bulletin","DOI":"10.1037/bul0000058","ISSN":"1939-1455","issue":"10","note":"publisher-place: US\npublisher: American Psychological Association","page":"1017-1067","source":"APA PsycNet","title":"A meta-analytic review of the association between perceived social support and depression in childhood and adolescence","volume":"142","author":[{"family":"Rueger","given":"Sandra Yu"},{"family":"Malecki","given":"Christine Kerres"},{"family":"Pyun","given":"Yoonsun"},{"family":"Aycock","given":"Chase"},{"family":"Coyle","given":"Samantha"}],"issued":{"date-parts":[["2016"]]}}},{"id":58,"uris":["http://zotero.org/users/local/YszQGxaT/items/YTUWKFA9"],"itemData":{"id":58,"type":"article-journal","container-title":"Educational Studies and Research Journal","DOI":"10.60036/ah05w331","ISSN":"3031-9013","issue":"1","language":"en","page":"37-47","source":"journal.midpublisher.com","title":"Managing negative emotions in adolescent education contexts","volume":"2","author":[{"family":"Mizan","given":"Mizan"},{"family":"Uce","given":"Loeziana"}],"issued":{"date-parts":[["2025",1,20]]}}}],"schema":"https://github.com/citation-style-language/schema/raw/master/csl-citation.json"} </w:instrText>
      </w:r>
      <w:r w:rsidRPr="006B5537">
        <w:rPr>
          <w:rFonts w:ascii="Times New Roman" w:eastAsia="Times New Roman" w:hAnsi="Times New Roman" w:cs="Times New Roman"/>
          <w:sz w:val="24"/>
          <w:szCs w:val="24"/>
          <w:lang w:val="en-US"/>
        </w:rPr>
        <w:fldChar w:fldCharType="separate"/>
      </w:r>
      <w:r w:rsidRPr="006B5537">
        <w:rPr>
          <w:rFonts w:ascii="Times New Roman" w:eastAsia="Times New Roman" w:hAnsi="Times New Roman" w:cs="Times New Roman"/>
          <w:sz w:val="24"/>
          <w:szCs w:val="24"/>
          <w:lang w:val="en-US"/>
        </w:rPr>
        <w:t>(Rueger et al., 2016; Mizan &amp; Uce, 2025)</w:t>
      </w:r>
      <w:r w:rsidRPr="006B5537">
        <w:rPr>
          <w:rFonts w:ascii="Times New Roman" w:eastAsia="Times New Roman" w:hAnsi="Times New Roman" w:cs="Times New Roman"/>
          <w:sz w:val="24"/>
          <w:szCs w:val="24"/>
        </w:rPr>
        <w:fldChar w:fldCharType="end"/>
      </w:r>
      <w:r w:rsidRPr="006B5537">
        <w:rPr>
          <w:rFonts w:ascii="Times New Roman" w:eastAsia="Times New Roman" w:hAnsi="Times New Roman" w:cs="Times New Roman"/>
          <w:sz w:val="24"/>
          <w:szCs w:val="24"/>
          <w:lang w:val="en-US"/>
        </w:rPr>
        <w:t xml:space="preserve">. Longitudinal evidence further suggests that persistent emotional dysregulation during early adolescence may have long-term consequences for psychosocial well-being and behavioral adjustment </w:t>
      </w:r>
      <w:r w:rsidRPr="006B5537">
        <w:rPr>
          <w:rFonts w:ascii="Times New Roman" w:eastAsia="Times New Roman" w:hAnsi="Times New Roman" w:cs="Times New Roman"/>
          <w:sz w:val="24"/>
          <w:szCs w:val="24"/>
          <w:lang w:val="en-US"/>
        </w:rPr>
        <w:fldChar w:fldCharType="begin"/>
      </w:r>
      <w:r w:rsidRPr="006B5537">
        <w:rPr>
          <w:rFonts w:ascii="Times New Roman" w:eastAsia="Times New Roman" w:hAnsi="Times New Roman" w:cs="Times New Roman"/>
          <w:sz w:val="24"/>
          <w:szCs w:val="24"/>
          <w:lang w:val="en-US"/>
        </w:rPr>
        <w:instrText xml:space="preserve"> ADDIN ZOTERO_ITEM CSL_CITATION {"citationID":"VieBVpv7","properties":{"formattedCitation":"(Lansford et al., 2018; McRae &amp; Gross, 2020)","plainCitation":"(Lansford et al., 2018; McRae &amp; Gross, 2020)","noteIndex":0},"citationItems":[{"id":117,"uris":["http://zotero.org/users/local/YszQGxaT/items/X3PSE75E"],"itemData":{"id":117,"type":"article-journal","abstract":"To examine whether the cultural normativeness of parents’ beliefs and behaviors moderates the links between those beliefs and behaviors and youths’ adjustment, mothers, fathers, and children (N = 1,298 families) from 12 cultural groups in 9 countries (China, Colombia, Italy, Jordan, Kenya, Philippines, Sweden, Thailand, and the United States) were interviewed when children were, on average, 10 years old and again when children were 12 years old. Multilevel models examined 5 aspects of parenting (expectations regarding family obligations, monitoring, psychological control, behavioral control, warmth/affection) in relation to 5 aspects of youth adjustment (social competence, prosocial behavior, academic achievement, externalizing behavior, internalizing behavior). Interactions between family level and culture-level predictors were tested to examine whether cultural normativeness of parenting behaviors moderated the link between those behaviors and children’s adjustment. More evidence was found for within- than between-culture differences in parenting predictors of youth adjustment. In 7 of the 8 instances in which cultural normativeness was found to moderate the link between parenting and youth adjustment, the link between a particular parenting behavior and youth adjustment was magnified in cultural contexts in which the parenting behavior was more normative. (PsycInfo Database Record (c) 2025 APA, all rights reserved)","container-title":"Developmental Psychology","DOI":"10.1037/dev0000416","ISSN":"1939-0599","issue":"2","note":"publisher-place: US\npublisher: American Psychological Association","page":"362-377","source":"APA PsycNet","title":"Longitudinal associations between parenting and youth adjustment in twelve cultural groups: Cultural normativeness of parenting as a moderator","title-short":"Longitudinal associations between parenting and youth adjustment in twelve cultural groups","volume":"54","author":[{"family":"Lansford","given":"Jennifer E."},{"family":"Godwin","given":"Jennifer"},{"family":"Al-Hassan","given":"Suha M."},{"family":"Bacchini","given":"Dario"},{"family":"Bornstein","given":"Marc H."},{"family":"Chang","given":"Lei"},{"family":"Chen","given":"Bin-Bin"},{"family":"Deater-Deckard","given":"Kirby"},{"family":"Di Giunta","given":"Laura"},{"family":"Dodge","given":"Kenneth A."},{"family":"Malone","given":"Patrick S."},{"family":"Oburu","given":"Paul"},{"family":"Pastorelli","given":"Concetta"},{"family":"Skinner","given":"Ann T."},{"family":"Sorbring","given":"Emma"},{"family":"Steinberg","given":"Laurence"},{"family":"Tapanya","given":"Sombat"},{"family":"Alampay","given":"Liane Peña"},{"family":"Uribe Tirado","given":"Liliana Maria"},{"family":"Zelli","given":"Arnaldo"}],"issued":{"date-parts":[["2018"]]}}},{"id":143,"uris":["http://zotero.org/users/local/YszQGxaT/items/83K32B83"],"itemData":{"id":143,"type":"article-journal","abstract":"Emotion regulation (ER) refers to attempts to influence emotions in ourselves or others. Over the past several decades, ER has become a popular topic across many subdisciplines within psychology. One framework that has helped to organize work on ER is the process model of ER, which distinguishes 5 families of strategies defined by when they impact the emotion generation process. The process model embeds these ER strategies in stages in which a need for regulation is identified, a strategy is selected and implemented, and monitoring occurs to track success. Much of the research to date has focused on a strategy called cognitive reappraisal, which involves changing how one thinks about a situation to influence one’s emotional response. Reappraisal is thought to be generally effective and adaptive, but there are important qualifications. In this article, we use reappraisal as an example to illustrate how we might consider 4 interrelated issues: (a) the consequences of using ER, either when instructed or spontaneous; (b) how ER success and frequency are shaped by individual and environmental determinants; (c) the psychological and neurobiological mechanisms that make ER possible; and (d) interventions that might improve how well and how often people use ER. (PsycInfo Database Record (c) 2025 APA, all rights reserved)","container-title":"Emotion","DOI":"10.1037/emo0000703","ISSN":"1931-1516","issue":"1","note":"publisher-place: US\npublisher: American Psychological Association","page":"1-9","source":"APA PsycNet","title":"Emotion regulation","volume":"20","author":[{"family":"McRae","given":"Kateri"},{"family":"Gross","given":"James J."}],"issued":{"date-parts":[["2020"]]}}}],"schema":"https://github.com/citation-style-language/schema/raw/master/csl-citation.json"} </w:instrText>
      </w:r>
      <w:r w:rsidRPr="006B5537">
        <w:rPr>
          <w:rFonts w:ascii="Times New Roman" w:eastAsia="Times New Roman" w:hAnsi="Times New Roman" w:cs="Times New Roman"/>
          <w:sz w:val="24"/>
          <w:szCs w:val="24"/>
          <w:lang w:val="en-US"/>
        </w:rPr>
        <w:fldChar w:fldCharType="separate"/>
      </w:r>
      <w:r w:rsidRPr="006B5537">
        <w:rPr>
          <w:rFonts w:ascii="Times New Roman" w:eastAsia="Times New Roman" w:hAnsi="Times New Roman" w:cs="Times New Roman"/>
          <w:sz w:val="24"/>
          <w:szCs w:val="24"/>
          <w:lang w:val="en-US"/>
        </w:rPr>
        <w:t>(Lansford et al., 2018; McRae &amp; Gross, 2020)</w:t>
      </w:r>
      <w:r w:rsidRPr="006B5537">
        <w:rPr>
          <w:rFonts w:ascii="Times New Roman" w:eastAsia="Times New Roman" w:hAnsi="Times New Roman" w:cs="Times New Roman"/>
          <w:sz w:val="24"/>
          <w:szCs w:val="24"/>
        </w:rPr>
        <w:fldChar w:fldCharType="end"/>
      </w:r>
      <w:r w:rsidRPr="006B5537">
        <w:rPr>
          <w:rFonts w:ascii="Times New Roman" w:eastAsia="Times New Roman" w:hAnsi="Times New Roman" w:cs="Times New Roman"/>
          <w:sz w:val="24"/>
          <w:szCs w:val="24"/>
          <w:lang w:val="en-US"/>
        </w:rPr>
        <w:t>. These findings reinforce the view that emotional development is not a peripheral concern but a foundational dimension of students’ educational experiences.</w:t>
      </w:r>
    </w:p>
    <w:p w14:paraId="32C904FD" w14:textId="77777777" w:rsidR="00DC5EAE" w:rsidRDefault="006B5537" w:rsidP="00DC5EAE">
      <w:pPr>
        <w:spacing w:after="0" w:line="360" w:lineRule="auto"/>
        <w:ind w:firstLine="567"/>
        <w:jc w:val="both"/>
        <w:rPr>
          <w:rFonts w:ascii="Times New Roman" w:eastAsia="Times New Roman" w:hAnsi="Times New Roman" w:cs="Times New Roman"/>
          <w:sz w:val="24"/>
          <w:szCs w:val="24"/>
          <w:lang w:val="en-US"/>
        </w:rPr>
      </w:pPr>
      <w:r w:rsidRPr="006B5537">
        <w:rPr>
          <w:rFonts w:ascii="Times New Roman" w:eastAsia="Times New Roman" w:hAnsi="Times New Roman" w:cs="Times New Roman"/>
          <w:sz w:val="24"/>
          <w:szCs w:val="24"/>
          <w:lang w:val="en-US"/>
        </w:rPr>
        <w:t xml:space="preserve">International scholarship has substantially advanced understanding of adolescent emotional development by emphasizing the interplay between individual capacities and social environments. Studies show that peer relationships, teacher–student interactions, and school </w:t>
      </w:r>
      <w:r w:rsidRPr="006B5537">
        <w:rPr>
          <w:rFonts w:ascii="Times New Roman" w:eastAsia="Times New Roman" w:hAnsi="Times New Roman" w:cs="Times New Roman"/>
          <w:sz w:val="24"/>
          <w:szCs w:val="24"/>
          <w:lang w:val="en-US"/>
        </w:rPr>
        <w:lastRenderedPageBreak/>
        <w:t xml:space="preserve">climate significantly influence adolescents’ emotional well-being and behavioral outcomes </w:t>
      </w:r>
      <w:r w:rsidRPr="006B5537">
        <w:rPr>
          <w:rFonts w:ascii="Times New Roman" w:eastAsia="Times New Roman" w:hAnsi="Times New Roman" w:cs="Times New Roman"/>
          <w:sz w:val="24"/>
          <w:szCs w:val="24"/>
          <w:lang w:val="en-US"/>
        </w:rPr>
        <w:fldChar w:fldCharType="begin"/>
      </w:r>
      <w:r w:rsidRPr="006B5537">
        <w:rPr>
          <w:rFonts w:ascii="Times New Roman" w:eastAsia="Times New Roman" w:hAnsi="Times New Roman" w:cs="Times New Roman"/>
          <w:sz w:val="24"/>
          <w:szCs w:val="24"/>
          <w:lang w:val="en-US"/>
        </w:rPr>
        <w:instrText xml:space="preserve"> ADDIN ZOTERO_ITEM CSL_CITATION {"citationID":"RcRPgD9w","properties":{"unsorted":true,"formattedCitation":"(Wentzel, 2017; Wang &amp; Degol, 2016)","plainCitation":"(Wentzel, 2017; Wang &amp; Degol, 2016)","noteIndex":0},"citationItems":[{"id":169,"uris":["http://zotero.org/users/local/YszQGxaT/items/UMXCQHN3"],"itemData":{"id":169,"type":"chapter","abstract":"Relationships with peers are of central importance to children throughout childhood and adolescence. They provide a source of companionship and entertainment, help in solving problems, personal validation and emotional support, and a foundation for identity development, In turn, children who enjoy positive relationships with peers appear to experience levels of emotional well-being, beliefs about the self, and values for prosocial forms of behavior and social interaction that are stronger and more adaptive than do children without positive peer relationships. An additional finding is that children who enjoy positive relationships with their peers also tend to be engaged in and even excel at academic tasks more than those who have peer relationship problems. Children's social competence with peers has been related consistently and positively to academic accomplishments throughout the school-age years. In light of evidence that links children's adaptive functioning across social and academic domains, a central issue that is addressed in this chapter is, why do these associations exist? More specifically, what are the mechanisms by which these two domains of functioning might be related? Toward this end, I first provide general criteria for defining social competence and their implications for understanding peer relationships at school, as well as academic motivation and accomplishments. Next, I review the literature on peer relationships and academic outcomes, followed by a discussion of processes and mechanisms that might explain significant relations between peer relationships and positive outcomes in the academic domain. Finally, I offer thoughts about and provocations for future research. (PsycInfo Database Record (c) 2025 APA, all rights reserved)","container-title":"Handbook of competence and motivation: Theory and application, 2nd ed","event-place":"New York, NY, US","ISBN":"978-1-4625-2960-5","page":"586-603","publisher":"The Guilford Press","publisher-place":"New York, NY, US","source":"APA PsycNet","title":"Peer relationships, motivation, and academic performance at school","author":[{"family":"Wentzel","given":"Kathryn R."}],"issued":{"date-parts":[["2017"]]}}},{"id":167,"uris":["http://zotero.org/users/local/YszQGxaT/items/DBKYTM2N"],"itemData":{"id":167,"type":"article-journal","abstract":"The construct of school climate has received attention as a way to enhance student achievement and reduce problem behaviors. The purpose of this article is to evaluate the existing literature on school climate and to bring to light the strengths, weakness, and gaps in the ways researchers have approached the construct. The central information in this article is organized into five sections. In the first, we describe the theoretical frameworks to support the multidimensionality of school climate and how school climate impacts student outcomes. In the second, we provide a breakdown of the four domains that make up school climate, including academic, community, safety, and institutional environment. In the third, we examine research on the outcomes of school climate. In the fourth, we outline the measurement and analytic methods of the construct of school climate. Finally, we summarize the strengths and limitations of the current work on school climate and make suggestions for future research directions.","container-title":"Educational Psychology Review","DOI":"10.1007/s10648-015-9319-1","journalAbbreviation":"Educational Psychology Review","source":"ResearchGate","title":"School Climate: a Review of the Construct, Measurement, and Impact on Student Outcomes","title-short":"School Climate","volume":"28","author":[{"family":"Wang","given":"Ming-Te"},{"family":"Degol","given":"Jessica"}],"issued":{"date-parts":[["2016"]]}}}],"schema":"https://github.com/citation-style-language/schema/raw/master/csl-citation.json"} </w:instrText>
      </w:r>
      <w:r w:rsidRPr="006B5537">
        <w:rPr>
          <w:rFonts w:ascii="Times New Roman" w:eastAsia="Times New Roman" w:hAnsi="Times New Roman" w:cs="Times New Roman"/>
          <w:sz w:val="24"/>
          <w:szCs w:val="24"/>
          <w:lang w:val="en-US"/>
        </w:rPr>
        <w:fldChar w:fldCharType="separate"/>
      </w:r>
      <w:r w:rsidRPr="006B5537">
        <w:rPr>
          <w:rFonts w:ascii="Times New Roman" w:eastAsia="Times New Roman" w:hAnsi="Times New Roman" w:cs="Times New Roman"/>
          <w:sz w:val="24"/>
          <w:szCs w:val="24"/>
          <w:lang w:val="en-US"/>
        </w:rPr>
        <w:t>(Wentzel, 2017; Wang &amp; Degol, 2016)</w:t>
      </w:r>
      <w:r w:rsidRPr="006B5537">
        <w:rPr>
          <w:rFonts w:ascii="Times New Roman" w:eastAsia="Times New Roman" w:hAnsi="Times New Roman" w:cs="Times New Roman"/>
          <w:sz w:val="24"/>
          <w:szCs w:val="24"/>
        </w:rPr>
        <w:fldChar w:fldCharType="end"/>
      </w:r>
      <w:r w:rsidRPr="006B5537">
        <w:rPr>
          <w:rFonts w:ascii="Times New Roman" w:eastAsia="Times New Roman" w:hAnsi="Times New Roman" w:cs="Times New Roman"/>
          <w:sz w:val="24"/>
          <w:szCs w:val="24"/>
          <w:lang w:val="en-US"/>
        </w:rPr>
        <w:t xml:space="preserve">. From a developmental perspective, emotional challenges in early adolescence are shaped by the interaction between neurobiological maturation and contextual factors such as family support and school norms </w:t>
      </w:r>
      <w:r w:rsidRPr="006B5537">
        <w:rPr>
          <w:rFonts w:ascii="Times New Roman" w:eastAsia="Times New Roman" w:hAnsi="Times New Roman" w:cs="Times New Roman"/>
          <w:sz w:val="24"/>
          <w:szCs w:val="24"/>
          <w:lang w:val="en-US"/>
        </w:rPr>
        <w:fldChar w:fldCharType="begin"/>
      </w:r>
      <w:r w:rsidRPr="006B5537">
        <w:rPr>
          <w:rFonts w:ascii="Times New Roman" w:eastAsia="Times New Roman" w:hAnsi="Times New Roman" w:cs="Times New Roman"/>
          <w:sz w:val="24"/>
          <w:szCs w:val="24"/>
          <w:lang w:val="en-US"/>
        </w:rPr>
        <w:instrText xml:space="preserve"> ADDIN ZOTERO_ITEM CSL_CITATION {"citationID":"DUJDB06X","properties":{"formattedCitation":"(E. A. Crone &amp; Fuligni, 2020; Lansford et al., 2018)","plainCitation":"(E. A. Crone &amp; Fuligni, 2020; Lansford et al., 2018)","noteIndex":0},"citationItems":[{"id":127,"uris":["http://zotero.org/users/local/YszQGxaT/items/ECVRGUJF"],"itemData":{"id":127,"type":"article-journal","abstract":"Research has demonstrated that adolescence is an important time for self- and other-oriented development that underlies many skills vital for becoming a contributing member of society with healthy intergroup relations. It is often assumed that these two processes, thinking about self and thinking about others, are pitted against each other when adolescents engage in social decision making such as giving or sharing. Recent evidence from social neuroscience, however, does not support this notion of conflicting motives, suggesting instead that thinking about self and others relies on a common network of social-affective brain regions, with the medial prefrontal cortex playing a central role in the integration of perspectives related to self and others. Here, we argue that self- and other-oriented thinking are intertwined processes that rely on an overlapping neural network. Adolescents’ motivation to contribute to society can be fostered most when self- and other-oriented motives align. (PsycInfo Database Record (c) 2022 APA, all rights reserved)","container-title":"Annual Review of Psychology","DOI":"10.1146/annurev-psych-010419-050937","ISSN":"1545-2085","note":"publisher-place: US\npublisher: Annual Reviews","page":"447-469","source":"APA PsycNet","title":"Self and others in adolescence","volume":"71","author":[{"family":"Crone","given":"Eveline A."},{"family":"Fuligni","given":"Andrew J."}],"issued":{"date-parts":[["2020"]]}}},{"id":117,"uris":["http://zotero.org/users/local/YszQGxaT/items/X3PSE75E"],"itemData":{"id":117,"type":"article-journal","abstract":"To examine whether the cultural normativeness of parents’ beliefs and behaviors moderates the links between those beliefs and behaviors and youths’ adjustment, mothers, fathers, and children (N = 1,298 families) from 12 cultural groups in 9 countries (China, Colombia, Italy, Jordan, Kenya, Philippines, Sweden, Thailand, and the United States) were interviewed when children were, on average, 10 years old and again when children were 12 years old. Multilevel models examined 5 aspects of parenting (expectations regarding family obligations, monitoring, psychological control, behavioral control, warmth/affection) in relation to 5 aspects of youth adjustment (social competence, prosocial behavior, academic achievement, externalizing behavior, internalizing behavior). Interactions between family level and culture-level predictors were tested to examine whether cultural normativeness of parenting behaviors moderated the link between those behaviors and children’s adjustment. More evidence was found for within- than between-culture differences in parenting predictors of youth adjustment. In 7 of the 8 instances in which cultural normativeness was found to moderate the link between parenting and youth adjustment, the link between a particular parenting behavior and youth adjustment was magnified in cultural contexts in which the parenting behavior was more normative. (PsycInfo Database Record (c) 2025 APA, all rights reserved)","container-title":"Developmental Psychology","DOI":"10.1037/dev0000416","ISSN":"1939-0599","issue":"2","note":"publisher-place: US\npublisher: American Psychological Association","page":"362-377","source":"APA PsycNet","title":"Longitudinal associations between parenting and youth adjustment in twelve cultural groups: Cultural normativeness of parenting as a moderator","title-short":"Longitudinal associations between parenting and youth adjustment in twelve cultural groups","volume":"54","author":[{"family":"Lansford","given":"Jennifer E."},{"family":"Godwin","given":"Jennifer"},{"family":"Al-Hassan","given":"Suha M."},{"family":"Bacchini","given":"Dario"},{"family":"Bornstein","given":"Marc H."},{"family":"Chang","given":"Lei"},{"family":"Chen","given":"Bin-Bin"},{"family":"Deater-Deckard","given":"Kirby"},{"family":"Di Giunta","given":"Laura"},{"family":"Dodge","given":"Kenneth A."},{"family":"Malone","given":"Patrick S."},{"family":"Oburu","given":"Paul"},{"family":"Pastorelli","given":"Concetta"},{"family":"Skinner","given":"Ann T."},{"family":"Sorbring","given":"Emma"},{"family":"Steinberg","given":"Laurence"},{"family":"Tapanya","given":"Sombat"},{"family":"Alampay","given":"Liane Peña"},{"family":"Uribe Tirado","given":"Liliana Maria"},{"family":"Zelli","given":"Arnaldo"}],"issued":{"date-parts":[["2018"]]}}}],"schema":"https://github.com/citation-style-language/schema/raw/master/csl-citation.json"} </w:instrText>
      </w:r>
      <w:r w:rsidRPr="006B5537">
        <w:rPr>
          <w:rFonts w:ascii="Times New Roman" w:eastAsia="Times New Roman" w:hAnsi="Times New Roman" w:cs="Times New Roman"/>
          <w:sz w:val="24"/>
          <w:szCs w:val="24"/>
          <w:lang w:val="en-US"/>
        </w:rPr>
        <w:fldChar w:fldCharType="separate"/>
      </w:r>
      <w:r w:rsidRPr="006B5537">
        <w:rPr>
          <w:rFonts w:ascii="Times New Roman" w:eastAsia="Times New Roman" w:hAnsi="Times New Roman" w:cs="Times New Roman"/>
          <w:sz w:val="24"/>
          <w:szCs w:val="24"/>
          <w:lang w:val="en-US"/>
        </w:rPr>
        <w:t>(Crone &amp; Fuligni, 2020; Lansford et al., 2018)</w:t>
      </w:r>
      <w:r w:rsidRPr="006B5537">
        <w:rPr>
          <w:rFonts w:ascii="Times New Roman" w:eastAsia="Times New Roman" w:hAnsi="Times New Roman" w:cs="Times New Roman"/>
          <w:sz w:val="24"/>
          <w:szCs w:val="24"/>
        </w:rPr>
        <w:fldChar w:fldCharType="end"/>
      </w:r>
      <w:r w:rsidRPr="006B5537">
        <w:rPr>
          <w:rFonts w:ascii="Times New Roman" w:eastAsia="Times New Roman" w:hAnsi="Times New Roman" w:cs="Times New Roman"/>
          <w:sz w:val="24"/>
          <w:szCs w:val="24"/>
          <w:lang w:val="en-US"/>
        </w:rPr>
        <w:t>. These findings provide a strong theoretical foundation for examining emotional development in school settings.</w:t>
      </w:r>
    </w:p>
    <w:p w14:paraId="257F587E" w14:textId="77777777" w:rsidR="00DC5EAE" w:rsidRDefault="006B5537" w:rsidP="00DC5EAE">
      <w:pPr>
        <w:spacing w:after="0" w:line="360" w:lineRule="auto"/>
        <w:ind w:firstLine="567"/>
        <w:jc w:val="both"/>
        <w:rPr>
          <w:rFonts w:ascii="Times New Roman" w:eastAsia="Times New Roman" w:hAnsi="Times New Roman" w:cs="Times New Roman"/>
          <w:sz w:val="24"/>
          <w:szCs w:val="24"/>
          <w:lang w:val="en-US"/>
        </w:rPr>
      </w:pPr>
      <w:r w:rsidRPr="006B5537">
        <w:rPr>
          <w:rFonts w:ascii="Times New Roman" w:eastAsia="Times New Roman" w:hAnsi="Times New Roman" w:cs="Times New Roman"/>
          <w:sz w:val="24"/>
          <w:szCs w:val="24"/>
          <w:lang w:val="en-US"/>
        </w:rPr>
        <w:t xml:space="preserve">In educational research, considerable attention has focused on Social and Emotional Learning (SEL) programs as structured interventions to enhance students’ emotional regulation, empathy, and social competence </w:t>
      </w:r>
      <w:r w:rsidRPr="006B5537">
        <w:rPr>
          <w:rFonts w:ascii="Times New Roman" w:eastAsia="Times New Roman" w:hAnsi="Times New Roman" w:cs="Times New Roman"/>
          <w:sz w:val="24"/>
          <w:szCs w:val="24"/>
          <w:lang w:val="en-US"/>
        </w:rPr>
        <w:fldChar w:fldCharType="begin"/>
      </w:r>
      <w:r w:rsidRPr="006B5537">
        <w:rPr>
          <w:rFonts w:ascii="Times New Roman" w:eastAsia="Times New Roman" w:hAnsi="Times New Roman" w:cs="Times New Roman"/>
          <w:sz w:val="24"/>
          <w:szCs w:val="24"/>
          <w:lang w:val="en-US"/>
        </w:rPr>
        <w:instrText xml:space="preserve"> ADDIN ZOTERO_ITEM CSL_CITATION {"citationID":"WiPmcKRc","properties":{"formattedCitation":"(Durlak et al., 2011; Taylor et al., 2017)","plainCitation":"(Durlak et al., 2011; Taylor et al., 2017)","noteIndex":0},"citationItems":[{"id":99,"uris":["http://zotero.org/users/local/YszQGxaT/items/69HZZPTS"],"itemData":{"id":99,"type":"article-journal","abstract":"This article presents findings from a meta-analysis of 213 school-based, universal social and emotional learning (SEL) programs involving 270,034 kindergarten through high school students. Compared to controls, SEL participants demonstrated significantly improved social and emotional skills, attitudes, behavior, and academic performance that reflected an 11-percentile-point gain in achievement. School teaching staff successfully conducted SEL programs. The use of 4 recommended practices for developing skills and the presence of implementation problems moderated program outcomes. The findings add to the growing empirical evidence regarding the positive impact of SEL programs. Policy makers, educators, and the public can contribute to healthy development of children by supporting the incorporation of evidence-based SEL programming into standard educational practice.","container-title":"Child Development","DOI":"10.1111/j.1467-8624.2010.01564.x","ISSN":"1467-8624","issue":"1","language":"en","license":"© 2011 The Authors. Child Development © 2011 Society for Research in Child Development, Inc.","note":"_eprint: https://srcd.onlinelibrary.wiley.com/doi/pdf/10.1111/j.1467-8624.2010.01564.x","page":"405-432","source":"Wiley Online Library","title":"The Impact of Enhancing Students’ Social and Emotional Learning: A Meta-Analysis of School-Based Universal Interventions","title-short":"The Impact of Enhancing Students’ Social and Emotional Learning","volume":"82","author":[{"family":"Durlak","given":"Joseph A."},{"family":"Weissberg","given":"Roger P."},{"family":"Dymnicki","given":"Allison B."},{"family":"Taylor","given":"Rebecca D."},{"family":"Schellinger","given":"Kriston B."}],"issued":{"date-parts":[["2011"]]}}},{"id":163,"uris":["http://zotero.org/users/local/YszQGxaT/items/7AKSPNIU"],"itemData":{"id":163,"type":"article-journal","abstract":"This meta-analysis reviewed 82 school-based, universal social and emotional learning (SEL) interventions involving 97,406 kindergarten to high school students (Mage = 11.09 years; mean percent low socioeconomic status = 41.1; mean percent students of color = 45.9). Thirty-eight interventions took place outside the United States. Follow-up outcomes (collected 6 months to 18 years postintervention) demonstrate SEL's enhancement of positive youth development. Participants fared significantly better than controls in social-emotional skills, attitudes, and indicators of well-being. Benefits were similar regardless of students’ race, socioeconomic background, or school location. Postintervention social-emotional skill development was the strongest predictor of well-being at follow-up. Infrequently assessed but notable outcomes (e.g., graduation and safe sexual behaviors) illustrate SEL's improvement of critical aspects of students’ developmental trajectories.","container-title":"Child Development","DOI":"10.1111/cdev.12864","journalAbbreviation":"Child Development","page":"1156-1171","source":"ResearchGate","title":"Promoting Positive Youth Development Through School-Based Social and Emotional Learning Interventions: A Meta-Analysis of Follow-Up Effects","title-short":"Promoting Positive Youth Development Through School-Based Social and Emotional Learning Interventions","volume":"88","author":[{"family":"Taylor","given":"Rebecca"},{"family":"Oberle","given":"Eva"},{"family":"Durlak","given":"Joseph"},{"family":"Weissberg","given":"Roger"}],"issued":{"date-parts":[["2017",7,1]]}}}],"schema":"https://github.com/citation-style-language/schema/raw/master/csl-citation.json"} </w:instrText>
      </w:r>
      <w:r w:rsidRPr="006B5537">
        <w:rPr>
          <w:rFonts w:ascii="Times New Roman" w:eastAsia="Times New Roman" w:hAnsi="Times New Roman" w:cs="Times New Roman"/>
          <w:sz w:val="24"/>
          <w:szCs w:val="24"/>
          <w:lang w:val="en-US"/>
        </w:rPr>
        <w:fldChar w:fldCharType="separate"/>
      </w:r>
      <w:r w:rsidRPr="006B5537">
        <w:rPr>
          <w:rFonts w:ascii="Times New Roman" w:eastAsia="Times New Roman" w:hAnsi="Times New Roman" w:cs="Times New Roman"/>
          <w:sz w:val="24"/>
          <w:szCs w:val="24"/>
          <w:lang w:val="en-US"/>
        </w:rPr>
        <w:t>(Durlak et al., 2011; Taylor et al., 2017)</w:t>
      </w:r>
      <w:r w:rsidRPr="006B5537">
        <w:rPr>
          <w:rFonts w:ascii="Times New Roman" w:eastAsia="Times New Roman" w:hAnsi="Times New Roman" w:cs="Times New Roman"/>
          <w:sz w:val="24"/>
          <w:szCs w:val="24"/>
        </w:rPr>
        <w:fldChar w:fldCharType="end"/>
      </w:r>
      <w:r w:rsidRPr="006B5537">
        <w:rPr>
          <w:rFonts w:ascii="Times New Roman" w:eastAsia="Times New Roman" w:hAnsi="Times New Roman" w:cs="Times New Roman"/>
          <w:sz w:val="24"/>
          <w:szCs w:val="24"/>
          <w:lang w:val="en-US"/>
        </w:rPr>
        <w:t xml:space="preserve">. Meta-analytic evidence indicates that SEL interventions can improve students’ emotional skills and academic outcomes when implemented systematically </w:t>
      </w:r>
      <w:r w:rsidRPr="006B5537">
        <w:rPr>
          <w:rFonts w:ascii="Times New Roman" w:eastAsia="Times New Roman" w:hAnsi="Times New Roman" w:cs="Times New Roman"/>
          <w:sz w:val="24"/>
          <w:szCs w:val="24"/>
          <w:lang w:val="en-US"/>
        </w:rPr>
        <w:fldChar w:fldCharType="begin"/>
      </w:r>
      <w:r w:rsidRPr="006B5537">
        <w:rPr>
          <w:rFonts w:ascii="Times New Roman" w:eastAsia="Times New Roman" w:hAnsi="Times New Roman" w:cs="Times New Roman"/>
          <w:sz w:val="24"/>
          <w:szCs w:val="24"/>
          <w:lang w:val="en-US"/>
        </w:rPr>
        <w:instrText xml:space="preserve"> ADDIN ZOTERO_ITEM CSL_CITATION {"citationID":"IlrdcV6b","properties":{"formattedCitation":"(Domitrovich et al., 2017)","plainCitation":"(Domitrovich et al., 2017)","noteIndex":0},"citationItems":[{"id":130,"uris":["http://zotero.org/users/local/YszQGxaT/items/4JG4KCDQ"],"itemData":{"id":130,"type":"article-journal","abstract":"Social-emotional competence is a critical factor to target with universal preventive interventions that are conducted in schools because the construct (a) associates with social, behavioral, and academic outcomes that are important for healthy development; (b) predicts important life outcomes in adulthood; (c) can be improved with feasible and cost-effective interventions; and (d) plays a critical role in the behavior change process. This article reviews this research and what is known about effective intervention approaches. Based on that, an intervention model is proposed for how schools should enhance the social and emotional learning of students in order to promote resilience. Suggestions are also offered for how to support implementation of this intervention model at scale.","container-title":"Child development","DOI":"10.1111/cdev.12739","journalAbbreviation":"Child development","source":"ResearchGate","title":"Social-Emotional Competence: An Essential Factor for Promoting Positive Adjustment and Reducing Risk in School Children","title-short":"Social-Emotional Competence","volume":"88","author":[{"family":"Domitrovich","given":"Celene"},{"family":"Durlak","given":"Joseph"},{"family":"Staley","given":"Katharine"},{"family":"Weissberg","given":"Roger"}],"issued":{"date-parts":[["2017",2,18]]}}}],"schema":"https://github.com/citation-style-language/schema/raw/master/csl-citation.json"} </w:instrText>
      </w:r>
      <w:r w:rsidRPr="006B5537">
        <w:rPr>
          <w:rFonts w:ascii="Times New Roman" w:eastAsia="Times New Roman" w:hAnsi="Times New Roman" w:cs="Times New Roman"/>
          <w:sz w:val="24"/>
          <w:szCs w:val="24"/>
          <w:lang w:val="en-US"/>
        </w:rPr>
        <w:fldChar w:fldCharType="separate"/>
      </w:r>
      <w:r w:rsidRPr="006B5537">
        <w:rPr>
          <w:rFonts w:ascii="Times New Roman" w:eastAsia="Times New Roman" w:hAnsi="Times New Roman" w:cs="Times New Roman"/>
          <w:sz w:val="24"/>
          <w:szCs w:val="24"/>
          <w:lang w:val="en-US"/>
        </w:rPr>
        <w:t>(Domitrovich et al., 2017)</w:t>
      </w:r>
      <w:r w:rsidRPr="006B5537">
        <w:rPr>
          <w:rFonts w:ascii="Times New Roman" w:eastAsia="Times New Roman" w:hAnsi="Times New Roman" w:cs="Times New Roman"/>
          <w:sz w:val="24"/>
          <w:szCs w:val="24"/>
        </w:rPr>
        <w:fldChar w:fldCharType="end"/>
      </w:r>
      <w:r w:rsidRPr="006B5537">
        <w:rPr>
          <w:rFonts w:ascii="Times New Roman" w:eastAsia="Times New Roman" w:hAnsi="Times New Roman" w:cs="Times New Roman"/>
          <w:sz w:val="24"/>
          <w:szCs w:val="24"/>
          <w:lang w:val="en-US"/>
        </w:rPr>
        <w:t xml:space="preserve">. However, much of this literature relies on quantitative designs and outcome-oriented evaluations, offering limited insight into how students experience emotional challenges in their everyday school lives. As a result, the subjective emotional dynamics of adolescents and the social processes through which emotions are negotiated in school contexts remain underexplored </w:t>
      </w:r>
      <w:r w:rsidRPr="006B5537">
        <w:rPr>
          <w:rFonts w:ascii="Times New Roman" w:eastAsia="Times New Roman" w:hAnsi="Times New Roman" w:cs="Times New Roman"/>
          <w:sz w:val="24"/>
          <w:szCs w:val="24"/>
          <w:lang w:val="en-US"/>
        </w:rPr>
        <w:fldChar w:fldCharType="begin"/>
      </w:r>
      <w:r w:rsidRPr="006B5537">
        <w:rPr>
          <w:rFonts w:ascii="Times New Roman" w:eastAsia="Times New Roman" w:hAnsi="Times New Roman" w:cs="Times New Roman"/>
          <w:sz w:val="24"/>
          <w:szCs w:val="24"/>
          <w:lang w:val="en-US"/>
        </w:rPr>
        <w:instrText xml:space="preserve"> ADDIN ZOTERO_ITEM CSL_CITATION {"citationID":"j5eWrayq","properties":{"formattedCitation":"(Jones et al., 2019)","plainCitation":"(Jones et al., 2019)","noteIndex":0},"citationItems":[{"id":137,"uris":["http://zotero.org/users/local/YszQGxaT/items/C44I83NE"],"itemData":{"id":137,"type":"article-journal","language":"en","source":"Zotero","title":"What is the Same and What is Different?","author":[{"family":"Jones","given":"Stephanie"},{"family":"Bailey","given":"Rebecca"},{"family":"Brush","given":"Katharine"},{"family":"Nelson","given":"Bryan"},{"family":"Barnes","given":"Sophie"}],"issued":{"date-parts":[["2019"]]}}}],"schema":"https://github.com/citation-style-language/schema/raw/master/csl-citation.json"} </w:instrText>
      </w:r>
      <w:r w:rsidRPr="006B5537">
        <w:rPr>
          <w:rFonts w:ascii="Times New Roman" w:eastAsia="Times New Roman" w:hAnsi="Times New Roman" w:cs="Times New Roman"/>
          <w:sz w:val="24"/>
          <w:szCs w:val="24"/>
          <w:lang w:val="en-US"/>
        </w:rPr>
        <w:fldChar w:fldCharType="separate"/>
      </w:r>
      <w:r w:rsidRPr="006B5537">
        <w:rPr>
          <w:rFonts w:ascii="Times New Roman" w:eastAsia="Times New Roman" w:hAnsi="Times New Roman" w:cs="Times New Roman"/>
          <w:sz w:val="24"/>
          <w:szCs w:val="24"/>
          <w:lang w:val="en-US"/>
        </w:rPr>
        <w:t>(Jones et al., 2019)</w:t>
      </w:r>
      <w:r w:rsidRPr="006B5537">
        <w:rPr>
          <w:rFonts w:ascii="Times New Roman" w:eastAsia="Times New Roman" w:hAnsi="Times New Roman" w:cs="Times New Roman"/>
          <w:sz w:val="24"/>
          <w:szCs w:val="24"/>
        </w:rPr>
        <w:fldChar w:fldCharType="end"/>
      </w:r>
      <w:r w:rsidRPr="006B5537">
        <w:rPr>
          <w:rFonts w:ascii="Times New Roman" w:eastAsia="Times New Roman" w:hAnsi="Times New Roman" w:cs="Times New Roman"/>
          <w:sz w:val="24"/>
          <w:szCs w:val="24"/>
          <w:lang w:val="en-US"/>
        </w:rPr>
        <w:t>.</w:t>
      </w:r>
    </w:p>
    <w:p w14:paraId="6C994C77" w14:textId="77777777" w:rsidR="00DC5EAE" w:rsidRDefault="006B5537" w:rsidP="00DC5EAE">
      <w:pPr>
        <w:spacing w:after="0" w:line="360" w:lineRule="auto"/>
        <w:ind w:firstLine="567"/>
        <w:jc w:val="both"/>
        <w:rPr>
          <w:rFonts w:ascii="Times New Roman" w:eastAsia="Times New Roman" w:hAnsi="Times New Roman" w:cs="Times New Roman"/>
          <w:sz w:val="24"/>
          <w:szCs w:val="24"/>
          <w:lang w:val="en-US"/>
        </w:rPr>
      </w:pPr>
      <w:r w:rsidRPr="006B5537">
        <w:rPr>
          <w:rFonts w:ascii="Times New Roman" w:eastAsia="Times New Roman" w:hAnsi="Times New Roman" w:cs="Times New Roman"/>
          <w:sz w:val="24"/>
          <w:szCs w:val="24"/>
          <w:lang w:val="en-US"/>
        </w:rPr>
        <w:t xml:space="preserve">Moreover, most existing studies on adolescent emotional development have been conducted in high-income countries with relatively well-resourced educational and psychosocial support systems. Global policy reports from the </w:t>
      </w:r>
      <w:r w:rsidRPr="006B5537">
        <w:rPr>
          <w:rFonts w:ascii="Times New Roman" w:eastAsia="Times New Roman" w:hAnsi="Times New Roman" w:cs="Times New Roman"/>
          <w:sz w:val="24"/>
          <w:szCs w:val="24"/>
          <w:lang w:val="en-US"/>
        </w:rPr>
        <w:fldChar w:fldCharType="begin"/>
      </w:r>
      <w:r w:rsidRPr="006B5537">
        <w:rPr>
          <w:rFonts w:ascii="Times New Roman" w:eastAsia="Times New Roman" w:hAnsi="Times New Roman" w:cs="Times New Roman"/>
          <w:sz w:val="24"/>
          <w:szCs w:val="24"/>
          <w:lang w:val="en-US"/>
        </w:rPr>
        <w:instrText xml:space="preserve"> ADDIN ZOTERO_ITEM CSL_CITATION {"citationID":"ICnhqMQT","properties":{"formattedCitation":"(OECD, 2021; UNESCO, 2023)","plainCitation":"(OECD, 2021; UNESCO, 2023)","noteIndex":0},"citationItems":[{"id":101,"uris":["http://zotero.org/users/local/YszQGxaT/items/GECFGTJN"],"itemData":{"id":101,"type":"webpage","title":"Global education monitoring report, 2023: technology in education: a tool on whose terms? - UNESCO Digital Library","URL":"https://unesdoc.unesco.org/ark:/48223/pf0000385723","author":[{"family":"OECD","given":"UNESCO"}],"accessed":{"date-parts":[["2025",12,19]]},"issued":{"date-parts":[["2021"]],"season":"2023"}}},{"id":165,"uris":["http://zotero.org/users/local/YszQGxaT/items/MHK7RSQQ"],"itemData":{"id":165,"type":"webpage","title":"Global education monitoring report, 2023: technology in education: a tool on whose terms? - UNESCO Digital Library","URL":"https://unesdoc.unesco.org/ark:/48223/pf0000385723","author":[{"family":"UNESCO","given":""}],"accessed":{"date-parts":[["2025",12,23]]},"issued":{"date-parts":[["2023"]]}}}],"schema":"https://github.com/citation-style-language/schema/raw/master/csl-citation.json"} </w:instrText>
      </w:r>
      <w:r w:rsidRPr="006B5537">
        <w:rPr>
          <w:rFonts w:ascii="Times New Roman" w:eastAsia="Times New Roman" w:hAnsi="Times New Roman" w:cs="Times New Roman"/>
          <w:sz w:val="24"/>
          <w:szCs w:val="24"/>
          <w:lang w:val="en-US"/>
        </w:rPr>
        <w:fldChar w:fldCharType="separate"/>
      </w:r>
      <w:r w:rsidRPr="006B5537">
        <w:rPr>
          <w:rFonts w:ascii="Times New Roman" w:eastAsia="Times New Roman" w:hAnsi="Times New Roman" w:cs="Times New Roman"/>
          <w:sz w:val="24"/>
          <w:szCs w:val="24"/>
          <w:lang w:val="en-US"/>
        </w:rPr>
        <w:t>OECD (2021) and UNESCO (2023)</w:t>
      </w:r>
      <w:r w:rsidRPr="006B5537">
        <w:rPr>
          <w:rFonts w:ascii="Times New Roman" w:eastAsia="Times New Roman" w:hAnsi="Times New Roman" w:cs="Times New Roman"/>
          <w:sz w:val="24"/>
          <w:szCs w:val="24"/>
        </w:rPr>
        <w:fldChar w:fldCharType="end"/>
      </w:r>
      <w:r w:rsidRPr="006B5537">
        <w:rPr>
          <w:rFonts w:ascii="Times New Roman" w:eastAsia="Times New Roman" w:hAnsi="Times New Roman" w:cs="Times New Roman"/>
          <w:sz w:val="24"/>
          <w:szCs w:val="24"/>
          <w:lang w:val="en-US"/>
        </w:rPr>
        <w:t xml:space="preserve"> emphasize holistic approaches to students’ emotional well-being but also acknowledge significant gaps in empirical evidence from developing countries, particularly regarding school-based emotional support under constrained institutional conditions. This imbalance raises concerns about the transferability of dominant theoretical models and intervention frameworks to diverse sociocultural contexts.</w:t>
      </w:r>
    </w:p>
    <w:p w14:paraId="75D82C7A" w14:textId="77777777" w:rsidR="00DC5EAE" w:rsidRDefault="006B5537" w:rsidP="00DC5EAE">
      <w:pPr>
        <w:spacing w:after="0" w:line="360" w:lineRule="auto"/>
        <w:ind w:firstLine="567"/>
        <w:jc w:val="both"/>
        <w:rPr>
          <w:rFonts w:ascii="Times New Roman" w:eastAsia="Times New Roman" w:hAnsi="Times New Roman" w:cs="Times New Roman"/>
          <w:sz w:val="24"/>
          <w:szCs w:val="24"/>
          <w:lang w:val="en-US"/>
        </w:rPr>
      </w:pPr>
      <w:r w:rsidRPr="006B5537">
        <w:rPr>
          <w:rFonts w:ascii="Times New Roman" w:eastAsia="Times New Roman" w:hAnsi="Times New Roman" w:cs="Times New Roman"/>
          <w:sz w:val="24"/>
          <w:szCs w:val="24"/>
          <w:lang w:val="en-US"/>
        </w:rPr>
        <w:t xml:space="preserve">Methodologically, international research remains limited in its integration of multiple educational actors within a single analytical framework. Many studies focus primarily on students’ self-reports or on program effectiveness, without adequately incorporating the perspectives of teachers, school counselors, and families, who play crucial roles in shaping adolescents’ emotional experiences </w:t>
      </w:r>
      <w:r w:rsidRPr="006B5537">
        <w:rPr>
          <w:rFonts w:ascii="Times New Roman" w:eastAsia="Times New Roman" w:hAnsi="Times New Roman" w:cs="Times New Roman"/>
          <w:sz w:val="24"/>
          <w:szCs w:val="24"/>
          <w:lang w:val="en-US"/>
        </w:rPr>
        <w:fldChar w:fldCharType="begin"/>
      </w:r>
      <w:r w:rsidRPr="006B5537">
        <w:rPr>
          <w:rFonts w:ascii="Times New Roman" w:eastAsia="Times New Roman" w:hAnsi="Times New Roman" w:cs="Times New Roman"/>
          <w:sz w:val="24"/>
          <w:szCs w:val="24"/>
          <w:lang w:val="en-US"/>
        </w:rPr>
        <w:instrText xml:space="preserve"> ADDIN ZOTERO_ITEM CSL_CITATION {"citationID":"hstaPKaf","properties":{"formattedCitation":"(Wentzel, 2017)","plainCitation":"(Wentzel, 2017)","noteIndex":0},"citationItems":[{"id":169,"uris":["http://zotero.org/users/local/YszQGxaT/items/UMXCQHN3"],"itemData":{"id":169,"type":"chapter","abstract":"Relationships with peers are of central importance to children throughout childhood and adolescence. They provide a source of companionship and entertainment, help in solving problems, personal validation and emotional support, and a foundation for identity development, In turn, children who enjoy positive relationships with peers appear to experience levels of emotional well-being, beliefs about the self, and values for prosocial forms of behavior and social interaction that are stronger and more adaptive than do children without positive peer relationships. An additional finding is that children who enjoy positive relationships with their peers also tend to be engaged in and even excel at academic tasks more than those who have peer relationship problems. Children's social competence with peers has been related consistently and positively to academic accomplishments throughout the school-age years. In light of evidence that links children's adaptive functioning across social and academic domains, a central issue that is addressed in this chapter is, why do these associations exist? More specifically, what are the mechanisms by which these two domains of functioning might be related? Toward this end, I first provide general criteria for defining social competence and their implications for understanding peer relationships at school, as well as academic motivation and accomplishments. Next, I review the literature on peer relationships and academic outcomes, followed by a discussion of processes and mechanisms that might explain significant relations between peer relationships and positive outcomes in the academic domain. Finally, I offer thoughts about and provocations for future research. (PsycInfo Database Record (c) 2025 APA, all rights reserved)","container-title":"Handbook of competence and motivation: Theory and application, 2nd ed","event-place":"New York, NY, US","ISBN":"978-1-4625-2960-5","page":"586-603","publisher":"The Guilford Press","publisher-place":"New York, NY, US","source":"APA PsycNet","title":"Peer relationships, motivation, and academic performance at school","author":[{"family":"Wentzel","given":"Kathryn R."}],"issued":{"date-parts":[["2017"]]}}}],"schema":"https://github.com/citation-style-language/schema/raw/master/csl-citation.json"} </w:instrText>
      </w:r>
      <w:r w:rsidRPr="006B5537">
        <w:rPr>
          <w:rFonts w:ascii="Times New Roman" w:eastAsia="Times New Roman" w:hAnsi="Times New Roman" w:cs="Times New Roman"/>
          <w:sz w:val="24"/>
          <w:szCs w:val="24"/>
          <w:lang w:val="en-US"/>
        </w:rPr>
        <w:fldChar w:fldCharType="separate"/>
      </w:r>
      <w:r w:rsidRPr="006B5537">
        <w:rPr>
          <w:rFonts w:ascii="Times New Roman" w:eastAsia="Times New Roman" w:hAnsi="Times New Roman" w:cs="Times New Roman"/>
          <w:sz w:val="24"/>
          <w:szCs w:val="24"/>
          <w:lang w:val="en-US"/>
        </w:rPr>
        <w:t>(Wentzel, 2017)</w:t>
      </w:r>
      <w:r w:rsidRPr="006B5537">
        <w:rPr>
          <w:rFonts w:ascii="Times New Roman" w:eastAsia="Times New Roman" w:hAnsi="Times New Roman" w:cs="Times New Roman"/>
          <w:sz w:val="24"/>
          <w:szCs w:val="24"/>
        </w:rPr>
        <w:fldChar w:fldCharType="end"/>
      </w:r>
      <w:r w:rsidRPr="006B5537">
        <w:rPr>
          <w:rFonts w:ascii="Times New Roman" w:eastAsia="Times New Roman" w:hAnsi="Times New Roman" w:cs="Times New Roman"/>
          <w:sz w:val="24"/>
          <w:szCs w:val="24"/>
          <w:lang w:val="en-US"/>
        </w:rPr>
        <w:t xml:space="preserve">. Ecological developmental theory emphasizes that emotional development emerges through layered interactions between individuals and their immediate and broader environments, including family, school, and community contexts </w:t>
      </w:r>
      <w:r w:rsidRPr="006B5537">
        <w:rPr>
          <w:rFonts w:ascii="Times New Roman" w:eastAsia="Times New Roman" w:hAnsi="Times New Roman" w:cs="Times New Roman"/>
          <w:sz w:val="24"/>
          <w:szCs w:val="24"/>
          <w:lang w:val="en-US"/>
        </w:rPr>
        <w:fldChar w:fldCharType="begin"/>
      </w:r>
      <w:r w:rsidRPr="006B5537">
        <w:rPr>
          <w:rFonts w:ascii="Times New Roman" w:eastAsia="Times New Roman" w:hAnsi="Times New Roman" w:cs="Times New Roman"/>
          <w:sz w:val="24"/>
          <w:szCs w:val="24"/>
          <w:lang w:val="en-US"/>
        </w:rPr>
        <w:instrText xml:space="preserve"> ADDIN ZOTERO_ITEM CSL_CITATION {"citationID":"jtkp0lxc","properties":{"formattedCitation":"(Bronfenbrenner &amp; Morris, 2006)","plainCitation":"(Bronfenbrenner &amp; Morris, 2006)","noteIndex":0},"citationItems":[{"id":103,"uris":["http://zotero.org/users/local/YszQGxaT/items/9MDQ8HJ5"],"itemData":{"id":103,"type":"chapter","abstract":"In this chapter, we undertake to present the ecological model of human development that has been introduced in a prior edition of this Handbook. The bioecological model is an evolving theoretical system for the scientific study of human development over time. The model presented in this chapter represents major theoretical innovations from the 1983 chapter in both form and content. The new model is not a paradigm shift, but rather represents a transition from a focus on the environment to a focus on proximal processes as engines of development. We begin with the defining properties of the model, which involves four principal components (process, person, context, and time), and the dynamic, interactive relationships among them. We then turn to the research designs required for testing the model. In doing so, we not only present the next stage in the evolution of an ecological theory of human development, but we also document the requirements for conducting developmental research in the discovery mode. We conclude with a look to the future—and what the bioecological model means for the future development of our species.","container-title":"Handbook of Child Psychology","ISBN":"978-0-470-14765-8","language":"en","license":"Copyright © 2006 John Wiley &amp; Sons, Inc. All rights reserved.","note":"section: 14\n_eprint: https://onlinelibrary.wiley.com/doi/pdf/10.1002/9780470147658.chpsy0114\nDOI: 10.1002/9780470147658.chpsy0114","publisher":"John Wiley &amp; Sons, Ltd","source":"Wiley Online Library","title":"The Bioecological Model of Human Development","URL":"https://onlinelibrary.wiley.com/doi/abs/10.1002/9780470147658.chpsy0114","author":[{"family":"Bronfenbrenner","given":"Urie"},{"family":"Morris","given":"Pamela A."}],"accessed":{"date-parts":[["2025",12,19]]},"issued":{"date-parts":[["2006"]]}}}],"schema":"https://github.com/citation-style-language/schema/raw/master/csl-citation.json"} </w:instrText>
      </w:r>
      <w:r w:rsidRPr="006B5537">
        <w:rPr>
          <w:rFonts w:ascii="Times New Roman" w:eastAsia="Times New Roman" w:hAnsi="Times New Roman" w:cs="Times New Roman"/>
          <w:sz w:val="24"/>
          <w:szCs w:val="24"/>
          <w:lang w:val="en-US"/>
        </w:rPr>
        <w:fldChar w:fldCharType="separate"/>
      </w:r>
      <w:r w:rsidRPr="006B5537">
        <w:rPr>
          <w:rFonts w:ascii="Times New Roman" w:eastAsia="Times New Roman" w:hAnsi="Times New Roman" w:cs="Times New Roman"/>
          <w:sz w:val="24"/>
          <w:szCs w:val="24"/>
          <w:lang w:val="en-US"/>
        </w:rPr>
        <w:t>(Bronfenbrenner &amp; Morris, 2006)</w:t>
      </w:r>
      <w:r w:rsidRPr="006B5537">
        <w:rPr>
          <w:rFonts w:ascii="Times New Roman" w:eastAsia="Times New Roman" w:hAnsi="Times New Roman" w:cs="Times New Roman"/>
          <w:sz w:val="24"/>
          <w:szCs w:val="24"/>
        </w:rPr>
        <w:fldChar w:fldCharType="end"/>
      </w:r>
      <w:r w:rsidRPr="006B5537">
        <w:rPr>
          <w:rFonts w:ascii="Times New Roman" w:eastAsia="Times New Roman" w:hAnsi="Times New Roman" w:cs="Times New Roman"/>
          <w:sz w:val="24"/>
          <w:szCs w:val="24"/>
          <w:lang w:val="en-US"/>
        </w:rPr>
        <w:t>. Capturing these interactions requires qualitative approaches that are sensitive to context and lived experience.</w:t>
      </w:r>
    </w:p>
    <w:p w14:paraId="426951E3" w14:textId="77777777" w:rsidR="00DC5EAE" w:rsidRDefault="006B5537" w:rsidP="00DC5EAE">
      <w:pPr>
        <w:spacing w:after="0" w:line="360" w:lineRule="auto"/>
        <w:ind w:firstLine="567"/>
        <w:jc w:val="both"/>
        <w:rPr>
          <w:rFonts w:ascii="Times New Roman" w:eastAsia="Times New Roman" w:hAnsi="Times New Roman" w:cs="Times New Roman"/>
          <w:sz w:val="24"/>
          <w:szCs w:val="24"/>
          <w:lang w:val="en-US"/>
        </w:rPr>
      </w:pPr>
      <w:r w:rsidRPr="006B5537">
        <w:rPr>
          <w:rFonts w:ascii="Times New Roman" w:eastAsia="Times New Roman" w:hAnsi="Times New Roman" w:cs="Times New Roman"/>
          <w:sz w:val="24"/>
          <w:szCs w:val="24"/>
          <w:lang w:val="en-US"/>
        </w:rPr>
        <w:lastRenderedPageBreak/>
        <w:t xml:space="preserve">These limitations have direct implications for school practice, particularly in guidance and counseling. Schools serve not only as sites of academic instruction but also as primary social environments where adolescents learn to express emotions, manage conflict, and build interpersonal relationships </w:t>
      </w:r>
      <w:r w:rsidRPr="006B5537">
        <w:rPr>
          <w:rFonts w:ascii="Times New Roman" w:eastAsia="Times New Roman" w:hAnsi="Times New Roman" w:cs="Times New Roman"/>
          <w:sz w:val="24"/>
          <w:szCs w:val="24"/>
          <w:lang w:val="en-US"/>
        </w:rPr>
        <w:fldChar w:fldCharType="begin"/>
      </w:r>
      <w:r w:rsidRPr="006B5537">
        <w:rPr>
          <w:rFonts w:ascii="Times New Roman" w:eastAsia="Times New Roman" w:hAnsi="Times New Roman" w:cs="Times New Roman"/>
          <w:sz w:val="24"/>
          <w:szCs w:val="24"/>
          <w:lang w:val="en-US"/>
        </w:rPr>
        <w:instrText xml:space="preserve"> ADDIN ZOTERO_ITEM CSL_CITATION {"citationID":"oH8bMaR5","properties":{"formattedCitation":"(Wang et al., 2020)","plainCitation":"(Wang et al., 2020)","noteIndex":0},"citationItems":[{"id":168,"uris":["http://zotero.org/users/local/YszQGxaT/items/MIMP5U5P"],"itemData":{"id":168,"type":"article-journal","abstract":"During the COVID-19 pandemic, many families experienced financial and health stressors associated with parental employment. Using multi-informant and daily-diary data from a nationwide U.S. sample of parents and children (626 dyads; 18,780 daily assessments across 30 days: May 18, 2020–June 1, 2020, October 19, 2020–November 2, 2020; parents: Mage = 43, 15% male; children: Mage = 15, 42% male; 36% Black, 26% White, 14% multiracial, 12% Latinx, 11% Asian American, and 1% Native American), this intensive longitudinal study investigated (a) the mediating role of health stress and financial stress in the link between parental employment status and psychosocial adjustment among adolescents and their parents and (b) whether this link differed by families’ socioeconomic status or receipt of government subsidies. Results indicated that families who experienced job loss tended to report higher levels of health stress and financial stress, which in turn was associated with heightened negative affect and poorer sleep quality for both parents and adolescents. When parents work from home (WFH), families tended to have lower levels of health stress and financial stress, which in turn weakened the positive links with negative affect and sleep quality. Lower- (vs. higher-) income families experienced weaker protective effects associated with WFH arrangements. Government subsidies were associated with lower stress and better psychosocial outcomes in families experiencing job loss.","container-title":"Developmental Psychology","DOI":"10.1037/dev0001636","journalAbbreviation":"Developmental Psychology","page":"335-349","source":"ResearchGate","title":"Employment Status and Psychosocial Adjustment Among Adolescents and Parents During the COVID-19 Pandemic: Multi-Informant Data From Ecological Momentary Assessments","title-short":"Employment Status and Psychosocial Adjustment Among Adolescents and Parents During the COVID-19 Pandemic","volume":"60","author":[{"family":"Wang","given":"Ming-Te"},{"family":"Scanlon","given":"Christina"},{"family":"Del Toro","given":"Juan"},{"family":"Schall","given":"Jacqueline"}],"issued":{"date-parts":[["2020"]]}}}],"schema":"https://github.com/citation-style-language/schema/raw/master/csl-citation.json"} </w:instrText>
      </w:r>
      <w:r w:rsidRPr="006B5537">
        <w:rPr>
          <w:rFonts w:ascii="Times New Roman" w:eastAsia="Times New Roman" w:hAnsi="Times New Roman" w:cs="Times New Roman"/>
          <w:sz w:val="24"/>
          <w:szCs w:val="24"/>
          <w:lang w:val="en-US"/>
        </w:rPr>
        <w:fldChar w:fldCharType="separate"/>
      </w:r>
      <w:r w:rsidRPr="006B5537">
        <w:rPr>
          <w:rFonts w:ascii="Times New Roman" w:eastAsia="Times New Roman" w:hAnsi="Times New Roman" w:cs="Times New Roman"/>
          <w:sz w:val="24"/>
          <w:szCs w:val="24"/>
          <w:lang w:val="en-US"/>
        </w:rPr>
        <w:t>(Wang et al., 2020)</w:t>
      </w:r>
      <w:r w:rsidRPr="006B5537">
        <w:rPr>
          <w:rFonts w:ascii="Times New Roman" w:eastAsia="Times New Roman" w:hAnsi="Times New Roman" w:cs="Times New Roman"/>
          <w:sz w:val="24"/>
          <w:szCs w:val="24"/>
        </w:rPr>
        <w:fldChar w:fldCharType="end"/>
      </w:r>
      <w:r w:rsidRPr="006B5537">
        <w:rPr>
          <w:rFonts w:ascii="Times New Roman" w:eastAsia="Times New Roman" w:hAnsi="Times New Roman" w:cs="Times New Roman"/>
          <w:sz w:val="24"/>
          <w:szCs w:val="24"/>
          <w:lang w:val="en-US"/>
        </w:rPr>
        <w:t xml:space="preserve">. Nevertheless, empirical evidence indicates that guidance and counseling services in many school systems remain largely reactive, focusing on disciplinary issues or acute behavioral problems rather than preventive and developmental emotional support </w:t>
      </w:r>
      <w:r w:rsidRPr="006B5537">
        <w:rPr>
          <w:rFonts w:ascii="Times New Roman" w:eastAsia="Times New Roman" w:hAnsi="Times New Roman" w:cs="Times New Roman"/>
          <w:sz w:val="24"/>
          <w:szCs w:val="24"/>
          <w:lang w:val="en-US"/>
        </w:rPr>
        <w:fldChar w:fldCharType="begin"/>
      </w:r>
      <w:r w:rsidRPr="006B5537">
        <w:rPr>
          <w:rFonts w:ascii="Times New Roman" w:eastAsia="Times New Roman" w:hAnsi="Times New Roman" w:cs="Times New Roman"/>
          <w:sz w:val="24"/>
          <w:szCs w:val="24"/>
          <w:lang w:val="en-US"/>
        </w:rPr>
        <w:instrText xml:space="preserve"> ADDIN ZOTERO_ITEM CSL_CITATION {"citationID":"TXs6iKww","properties":{"formattedCitation":"(Putri et al., 2023; Wahidah &amp; Latipah, 2021)","plainCitation":"(Putri et al., 2023; Wahidah &amp; Latipah, 2021)","noteIndex":0},"citationItems":[{"id":105,"uris":["http://zotero.org/users/local/YszQGxaT/items/SVPT8YRI"],"itemData":{"id":105,"type":"article-journal","abstract":"Pendidikan bisa diraih dengan berbagai macam cara salah satunya pendidikan di sekolah. Sebuah pendidikan mempunyai tiga komponen utama yaitu guru,siswa dan kurikulum. Ketiga komponen tersebut tidak dapat dipisahkan dan komponen-komponen tersebut berada di lingkungan sekolah agar proses kegiatan belajar mengajar dapat berjalan sesuai dengan yang diinginkan. Penulisan ini dilatarbelakangi oleh adanya kurangnya pemahaman pada pembelajaran anak dapat disebabkan oleh beberapa faktor. Salah satunya yaitu kurangnya peran guru dalam proses pembelajaran di sekolah dapat menyebabkan pemahaman anak berkurang khususnya pada anak sekolah. Keberadaan seorang guru berperan penting dalam lingkungan masyarakat baik di sekolah maupun masyarakat. Guru dituntut untuk memiliki kepribadian dan perilaku yang patut diteladani dalam kehidupan sosial di masyarakat. Kedudukan seorang guru, menuntut untuk professional dalam mendidik dan berperilaku tidak hanya berkaitan dengan tugasnya dalam proses pembelajaran tetapi juga tugasnya di masyarakat. Adapun tujuan penelitian yaitu agar mengetahui bagaimana peran guru di sekolah dan masyarakat serta hambatan peran guru. Fokus penelisan ini adalah bagaimana peran guru di sekolah dalam menjalankan peran guru di sekolah. Pendidikan merupakan salah satu hal yang paling penting untuk mempersiapkan kesuksesan masa depan pada zaman globalisasi. Peran guru di sekolah sangat diperlukan karena anak sekolah dasar masih kurangnya daya tangkap merreka terhadap sesuatu yang mereka lihat dan mereka dengar. Dengan adanya fenomena tersebut maka dilakukan penulisan yang bertujuan untuk mengetahui bagaimana peran guru dalam pembelajaran di sekolah.","container-title":"Ar-Rihlah: Jurnal Inovasi Pengembangan Pendidikan Islam","DOI":"10.33507/ar-rihlah.v8i2.1769","ISSN":"2809-5693","issue":"2","language":"en-US","page":"117-127","source":"ejournal.iainu-kebumen.ac.id","title":"The role of teachers as educators in schools","volume":"8","author":[{"family":"Putri","given":""},{"family":"W., Kurniawan, M. A.,","given":""},{"family":"Nuraini","given":""}],"issued":{"date-parts":[["2023",12,19]]}}},{"id":95,"uris":["http://zotero.org/users/local/YszQGxaT/items/QMSPQHU2"],"itemData":{"id":95,"type":"article-journal","container-title":"(JAPRA) Jurnal Pendidikan Raudhatul Athfal (JAPRA)","DOI":"10.15575/japra.v4i1.10940","ISSN":"2580-7412, 2527-4325","issue":"1","journalAbbreviation":"JAPRA","language":"id","license":"https://creativecommons.org/licenses/by-nc-sa/4.0","page":"43-62","source":"DOI.org (Crossref)","title":"The importance of understanding early childhood emotional development and stimulation","volume":"4","author":[{"family":"Wahidah","given":"Afifah Fatihakun Ni'mah"},{"family":"Latipah","given":"Eva"}],"issued":{"date-parts":[["2021",3,30]]}}}],"schema":"https://github.com/citation-style-language/schema/raw/master/csl-citation.json"} </w:instrText>
      </w:r>
      <w:r w:rsidRPr="006B5537">
        <w:rPr>
          <w:rFonts w:ascii="Times New Roman" w:eastAsia="Times New Roman" w:hAnsi="Times New Roman" w:cs="Times New Roman"/>
          <w:sz w:val="24"/>
          <w:szCs w:val="24"/>
          <w:lang w:val="en-US"/>
        </w:rPr>
        <w:fldChar w:fldCharType="separate"/>
      </w:r>
      <w:r w:rsidRPr="006B5537">
        <w:rPr>
          <w:rFonts w:ascii="Times New Roman" w:eastAsia="Times New Roman" w:hAnsi="Times New Roman" w:cs="Times New Roman"/>
          <w:sz w:val="24"/>
          <w:szCs w:val="24"/>
          <w:lang w:val="en-US"/>
        </w:rPr>
        <w:t>(Putri et al., 2023; Wahidah &amp; Latipah, 2021)</w:t>
      </w:r>
      <w:r w:rsidRPr="006B5537">
        <w:rPr>
          <w:rFonts w:ascii="Times New Roman" w:eastAsia="Times New Roman" w:hAnsi="Times New Roman" w:cs="Times New Roman"/>
          <w:sz w:val="24"/>
          <w:szCs w:val="24"/>
        </w:rPr>
        <w:fldChar w:fldCharType="end"/>
      </w:r>
      <w:r w:rsidRPr="006B5537">
        <w:rPr>
          <w:rFonts w:ascii="Times New Roman" w:eastAsia="Times New Roman" w:hAnsi="Times New Roman" w:cs="Times New Roman"/>
          <w:sz w:val="24"/>
          <w:szCs w:val="24"/>
          <w:lang w:val="en-US"/>
        </w:rPr>
        <w:t>. Such approaches risk overlooking early emotional difficulties that may escalate if left unaddressed.</w:t>
      </w:r>
    </w:p>
    <w:p w14:paraId="09DCB5EE" w14:textId="77777777" w:rsidR="00DC5EAE" w:rsidRDefault="006B5537" w:rsidP="00DC5EAE">
      <w:pPr>
        <w:spacing w:after="0" w:line="360" w:lineRule="auto"/>
        <w:ind w:firstLine="567"/>
        <w:jc w:val="both"/>
        <w:rPr>
          <w:rFonts w:ascii="Times New Roman" w:eastAsia="Times New Roman" w:hAnsi="Times New Roman" w:cs="Times New Roman"/>
          <w:sz w:val="24"/>
          <w:szCs w:val="24"/>
          <w:lang w:val="en-US"/>
        </w:rPr>
      </w:pPr>
      <w:r w:rsidRPr="006B5537">
        <w:rPr>
          <w:rFonts w:ascii="Times New Roman" w:eastAsia="Times New Roman" w:hAnsi="Times New Roman" w:cs="Times New Roman"/>
          <w:sz w:val="24"/>
          <w:szCs w:val="24"/>
          <w:lang w:val="en-US"/>
        </w:rPr>
        <w:t xml:space="preserve">In the Indonesian context, public junior secondary schools typically serve students from diverse social, economic, and cultural backgrounds, generating complex emotional and relational dynamics. Preliminary observations and informal discussions with educators at a public junior secondary school in Gowa Regency revealed pronounced emotional fluctuations among students, including aggressive behavior, social withdrawal, and difficulty managing interpersonal conflict. Similar patterns have been documented in Indonesian studies highlighting the influence of family communication, peer relations, and school climate on adolescents’ emotional well-being </w:t>
      </w:r>
      <w:r w:rsidRPr="006B5537">
        <w:rPr>
          <w:rFonts w:ascii="Times New Roman" w:eastAsia="Times New Roman" w:hAnsi="Times New Roman" w:cs="Times New Roman"/>
          <w:sz w:val="24"/>
          <w:szCs w:val="24"/>
          <w:lang w:val="en-US"/>
        </w:rPr>
        <w:fldChar w:fldCharType="begin"/>
      </w:r>
      <w:r w:rsidRPr="006B5537">
        <w:rPr>
          <w:rFonts w:ascii="Times New Roman" w:eastAsia="Times New Roman" w:hAnsi="Times New Roman" w:cs="Times New Roman"/>
          <w:sz w:val="24"/>
          <w:szCs w:val="24"/>
          <w:lang w:val="en-US"/>
        </w:rPr>
        <w:instrText xml:space="preserve"> ADDIN ZOTERO_ITEM CSL_CITATION {"citationID":"n5aFRUiT","properties":{"formattedCitation":"(Latipah, 2017; Rohmatillah et al., 2024)","plainCitation":"(Latipah, 2017; Rohmatillah et al., 2024)","noteIndex":0},"citationItems":[{"id":76,"uris":["http://zotero.org/users/local/YszQGxaT/items/222W9T2E"],"itemData":{"id":76,"type":"article-journal","abstract":"Self regulated learning has a very important role on many aspects of life, especially academic field. This study aimed to examine effect of experiential learning strategies to students self-regulated learning and its components (learning motivation, learning strategies cognitive, metacognitive regulation, and manage resources). Subjects were 40 in experimental group and 40 in control group. Instruments used in data collection is self regulated learning scale and experiential learning modules are used as a guideline in applying experiential learning strategy. Multivariate analysis techniques are used to analyze data. Results show that there are significant differences of self regulated learning, learning motivation, cognitive learning strategies, metacognitive regulation, and manage resources between experimental and control groups. This means that experiential learning strategies can improve student self-regulated learning.","container-title":"HUMANITAS","DOI":"10.26555/humanitas.v14i1.4547","ISSN":"1693-7236","issue":"1","journalAbbreviation":"HUMANITAS","language":"id","page":"41","source":"DOI.org (Crossref)","title":"The influence of experiential learning strategies on students’ self-regulated learning.","volume":"14","author":[{"family":"Latipah","given":"Eva"}],"issued":{"date-parts":[["2017",2,1]]}}},{"id":89,"uris":["http://zotero.org/users/local/YszQGxaT/items/QXE3STDW"],"itemData":{"id":89,"type":"article-journal","abstract":"The use of information technology and social media among teenagers is a major concern in their psychological context. This research applies literature study methods to investigate the impact of social media use on the psychological well-being of adolescents. Based on data from the Ministry of Communication and Information (Kominfo), Indonesian teenagers are highly exposed to social media, with 79.5 percent of them being internet users. Social media has become integral to teenagers' daily lives, playing an important role in communication, social interaction, and the search for identity. This study focuses attention on aspects of anxiety and depression as indicators of adolescent psychological well-being. Research results suggest that excessive social media use, exposure to cyberbullying, and social comparison may contribute to increased levels of anxiety and depression. The literature study method is used to detail the influence of social media on teenagers, exploring information from various related literature sources. Additionally, this study identified moderating factors, such as offline social support and regulation of social media use, that influence the complexity of the relationship between social media and adolescents' psychological well-being.","container-title":"TA'LIM : Jurnal Studi Pendidikan Islam","DOI":"10.52166/talim.v7i1.6292","ISSN":"2621-0460","issue":"1","language":"en","license":"Copyright (c) 2024 TA‘LIM: Jurnal Studi Pendidikan Islam","page":"154-165","source":"e-jurnal.unisda.ac.id","title":"Social media and adolescent psychological well-being in Indonesia","volume":"7","author":[{"family":"Rohmatillah","given":"Nely"},{"family":"Qomaruddin","given":"Qomaruddin"},{"family":"Ahmad","given":"Nur Fatih"},{"family":"Fadhilah","given":"Nilna Fatih"}],"issued":{"date-parts":[["2024",1,29]]}}}],"schema":"https://github.com/citation-style-language/schema/raw/master/csl-citation.json"} </w:instrText>
      </w:r>
      <w:r w:rsidRPr="006B5537">
        <w:rPr>
          <w:rFonts w:ascii="Times New Roman" w:eastAsia="Times New Roman" w:hAnsi="Times New Roman" w:cs="Times New Roman"/>
          <w:sz w:val="24"/>
          <w:szCs w:val="24"/>
          <w:lang w:val="en-US"/>
        </w:rPr>
        <w:fldChar w:fldCharType="separate"/>
      </w:r>
      <w:r w:rsidRPr="006B5537">
        <w:rPr>
          <w:rFonts w:ascii="Times New Roman" w:eastAsia="Times New Roman" w:hAnsi="Times New Roman" w:cs="Times New Roman"/>
          <w:sz w:val="24"/>
          <w:szCs w:val="24"/>
          <w:lang w:val="en-US"/>
        </w:rPr>
        <w:t>(Latipah, 2017; Rohmatillah et al., 2024)</w:t>
      </w:r>
      <w:r w:rsidRPr="006B5537">
        <w:rPr>
          <w:rFonts w:ascii="Times New Roman" w:eastAsia="Times New Roman" w:hAnsi="Times New Roman" w:cs="Times New Roman"/>
          <w:sz w:val="24"/>
          <w:szCs w:val="24"/>
        </w:rPr>
        <w:fldChar w:fldCharType="end"/>
      </w:r>
      <w:r w:rsidRPr="006B5537">
        <w:rPr>
          <w:rFonts w:ascii="Times New Roman" w:eastAsia="Times New Roman" w:hAnsi="Times New Roman" w:cs="Times New Roman"/>
          <w:sz w:val="24"/>
          <w:szCs w:val="24"/>
          <w:lang w:val="en-US"/>
        </w:rPr>
        <w:t>. These emotional challenges affect not only peer relationships but also classroom climate and teachers’ capacity to facilitate effective learning.</w:t>
      </w:r>
    </w:p>
    <w:p w14:paraId="3759ECAD" w14:textId="77777777" w:rsidR="00DC5EAE" w:rsidRDefault="006B5537" w:rsidP="00DC5EAE">
      <w:pPr>
        <w:spacing w:after="0" w:line="360" w:lineRule="auto"/>
        <w:ind w:firstLine="567"/>
        <w:jc w:val="both"/>
        <w:rPr>
          <w:rFonts w:ascii="Times New Roman" w:eastAsia="Times New Roman" w:hAnsi="Times New Roman" w:cs="Times New Roman"/>
          <w:sz w:val="24"/>
          <w:szCs w:val="24"/>
          <w:lang w:val="en-US"/>
        </w:rPr>
      </w:pPr>
      <w:r w:rsidRPr="006B5537">
        <w:rPr>
          <w:rFonts w:ascii="Times New Roman" w:eastAsia="Times New Roman" w:hAnsi="Times New Roman" w:cs="Times New Roman"/>
          <w:sz w:val="24"/>
          <w:szCs w:val="24"/>
          <w:lang w:val="en-US"/>
        </w:rPr>
        <w:t>Taken together, the existing literature reveals a clear research gap regarding the need for contextually grounded, in-depth qualitative studies that explore the emotional challenges of junior secondary students in developing country settings. There remains limited empirical work that captures adolescents’ lived emotional experiences while integrating the perspectives of teachers, school counselors, and families within a holistic framework. Addressing this gap is essential for advancing scholarship in educational psychology and guidance and counseling, as well as for informing more responsive school-based emotional support practices. By providing an in-depth qualitative account of students’ emotional challenges within a public junior secondary school, this study contributes to the guidance and counseling literature by offering contextually grounded insights that inform preventive and developmental school-based emotional support practices.</w:t>
      </w:r>
    </w:p>
    <w:p w14:paraId="28441E39" w14:textId="1FEC694E" w:rsidR="00DD2D90" w:rsidRDefault="006B5537" w:rsidP="00DD2D90">
      <w:pPr>
        <w:spacing w:after="0" w:line="360" w:lineRule="auto"/>
        <w:ind w:firstLine="567"/>
        <w:jc w:val="both"/>
        <w:rPr>
          <w:rFonts w:ascii="Times New Roman" w:eastAsia="Times New Roman" w:hAnsi="Times New Roman" w:cs="Times New Roman"/>
          <w:sz w:val="24"/>
          <w:szCs w:val="24"/>
          <w:lang w:val="en-US"/>
        </w:rPr>
      </w:pPr>
      <w:r w:rsidRPr="006B5537">
        <w:rPr>
          <w:rFonts w:ascii="Times New Roman" w:eastAsia="Times New Roman" w:hAnsi="Times New Roman" w:cs="Times New Roman"/>
          <w:sz w:val="24"/>
          <w:szCs w:val="24"/>
          <w:lang w:val="en-US"/>
        </w:rPr>
        <w:t xml:space="preserve">Accordingly, this study aims to explore the emotional challenges experienced by junior secondary students in a public-school context and to examine the internal and external factors that shape these challenges. In addition, the study seeks to analyze the role of schools, </w:t>
      </w:r>
      <w:r w:rsidRPr="006B5537">
        <w:rPr>
          <w:rFonts w:ascii="Times New Roman" w:eastAsia="Times New Roman" w:hAnsi="Times New Roman" w:cs="Times New Roman"/>
          <w:sz w:val="24"/>
          <w:szCs w:val="24"/>
          <w:lang w:val="en-US"/>
        </w:rPr>
        <w:lastRenderedPageBreak/>
        <w:t>particularly teachers and guidance and counseling services, in supporting students’ emotional development. The following research questions guide the study: (1) How do junior secondary students experience emotional challenges in their school context? (2) What internal and external factors influence students’ emotional development? and (3) How do schools, particularly guidance and counseling services, respond to and support students’ emotional development?</w:t>
      </w:r>
    </w:p>
    <w:p w14:paraId="4B90A01D" w14:textId="77777777" w:rsidR="00DD2D90" w:rsidRPr="00DC5EAE" w:rsidRDefault="00DD2D90" w:rsidP="00DD2D90">
      <w:pPr>
        <w:spacing w:after="0" w:line="360" w:lineRule="auto"/>
        <w:ind w:firstLine="567"/>
        <w:jc w:val="both"/>
        <w:rPr>
          <w:rFonts w:ascii="Times New Roman" w:eastAsia="Times New Roman" w:hAnsi="Times New Roman" w:cs="Times New Roman"/>
          <w:sz w:val="24"/>
          <w:szCs w:val="24"/>
          <w:lang w:val="en-US"/>
        </w:rPr>
      </w:pPr>
    </w:p>
    <w:p w14:paraId="2FCE2335" w14:textId="1A7247E2" w:rsidR="00DB4057" w:rsidRPr="00DC5EAE" w:rsidRDefault="00DD2D90" w:rsidP="00DC5EAE">
      <w:pPr>
        <w:spacing w:after="0" w:line="36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 xml:space="preserve">Research </w:t>
      </w:r>
      <w:r w:rsidR="009D4F60">
        <w:rPr>
          <w:rFonts w:ascii="Times New Roman" w:eastAsia="Times New Roman" w:hAnsi="Times New Roman" w:cs="Times New Roman"/>
          <w:b/>
          <w:sz w:val="24"/>
          <w:szCs w:val="24"/>
        </w:rPr>
        <w:t>Me</w:t>
      </w:r>
      <w:r w:rsidR="00DC5EAE">
        <w:rPr>
          <w:rFonts w:ascii="Times New Roman" w:eastAsia="Times New Roman" w:hAnsi="Times New Roman" w:cs="Times New Roman"/>
          <w:b/>
          <w:sz w:val="24"/>
          <w:szCs w:val="24"/>
          <w:lang w:val="en-US"/>
        </w:rPr>
        <w:t>thod</w:t>
      </w:r>
    </w:p>
    <w:p w14:paraId="01D373A1" w14:textId="77777777" w:rsidR="00DD2D90" w:rsidRDefault="00DD2D90" w:rsidP="00DD2D90">
      <w:pPr>
        <w:spacing w:after="0" w:line="360" w:lineRule="auto"/>
        <w:ind w:firstLine="567"/>
        <w:jc w:val="both"/>
        <w:rPr>
          <w:rFonts w:ascii="Times New Roman" w:eastAsia="Times New Roman" w:hAnsi="Times New Roman" w:cs="Times New Roman"/>
          <w:sz w:val="24"/>
          <w:szCs w:val="24"/>
          <w:lang w:val="en-US"/>
        </w:rPr>
      </w:pPr>
      <w:r w:rsidRPr="00DD2D90">
        <w:rPr>
          <w:rFonts w:ascii="Times New Roman" w:eastAsia="Times New Roman" w:hAnsi="Times New Roman" w:cs="Times New Roman"/>
          <w:sz w:val="24"/>
          <w:szCs w:val="24"/>
          <w:lang w:val="en-US"/>
        </w:rPr>
        <w:t xml:space="preserve">This study employed a qualitative case study design to obtain an in-depth, contextualized understanding of the emotional challenges experienced by junior secondary school students. Qualitative inquiry is particularly appropriate when the aim is to explore meanings, processes, and lived experiences from participants’ perspectives within their natural settings </w:t>
      </w:r>
      <w:r w:rsidRPr="00DD2D90">
        <w:rPr>
          <w:rFonts w:ascii="Times New Roman" w:eastAsia="Times New Roman" w:hAnsi="Times New Roman" w:cs="Times New Roman"/>
          <w:sz w:val="24"/>
          <w:szCs w:val="24"/>
          <w:lang w:val="en-US"/>
        </w:rPr>
        <w:fldChar w:fldCharType="begin"/>
      </w:r>
      <w:r w:rsidRPr="00DD2D90">
        <w:rPr>
          <w:rFonts w:ascii="Times New Roman" w:eastAsia="Times New Roman" w:hAnsi="Times New Roman" w:cs="Times New Roman"/>
          <w:sz w:val="24"/>
          <w:szCs w:val="24"/>
          <w:lang w:val="en-US"/>
        </w:rPr>
        <w:instrText xml:space="preserve"> ADDIN ZOTERO_ITEM CSL_CITATION {"citationID":"sq8c3TO4","properties":{"formattedCitation":"(Creswell, J. W., &amp; Poth, C. N., 2018)","plainCitation":"(Creswell, J. W., &amp; Poth, C. N., 2018)","noteIndex":0},"citationItems":[{"id":123,"uris":["http://zotero.org/users/local/YszQGxaT/items/NS9MIEEX"],"itemData":{"id":123,"type":"webpage","abstract":"Creswell and Poth, 2018, Qualitative Inquiry 4th","language":"en","title":"Qualitative inquiry and research design: Choosing among five approaches (4th ed.)","URL":"https://pubhtml5.com/enuk/cykh/Creswell_and_Poth%2C_2018%2C_Qualitative_Inquiry_4th/","author":[{"family":"Creswell, J. W.,","given":""},{"family":"Poth, C. N.","given":""}],"accessed":{"date-parts":[["2025",12,23]]},"issued":{"date-parts":[["2018"]]}}}],"schema":"https://github.com/citation-style-language/schema/raw/master/csl-citation.json"} </w:instrText>
      </w:r>
      <w:r w:rsidRPr="00DD2D90">
        <w:rPr>
          <w:rFonts w:ascii="Times New Roman" w:eastAsia="Times New Roman" w:hAnsi="Times New Roman" w:cs="Times New Roman"/>
          <w:sz w:val="24"/>
          <w:szCs w:val="24"/>
          <w:lang w:val="en-US"/>
        </w:rPr>
        <w:fldChar w:fldCharType="separate"/>
      </w:r>
      <w:r w:rsidRPr="00DD2D90">
        <w:rPr>
          <w:rFonts w:ascii="Times New Roman" w:eastAsia="Times New Roman" w:hAnsi="Times New Roman" w:cs="Times New Roman"/>
          <w:sz w:val="24"/>
          <w:szCs w:val="24"/>
          <w:lang w:val="en-US"/>
        </w:rPr>
        <w:t>(Creswell &amp; Poth, 2018)</w:t>
      </w:r>
      <w:r w:rsidRPr="00DD2D90">
        <w:rPr>
          <w:rFonts w:ascii="Times New Roman" w:eastAsia="Times New Roman" w:hAnsi="Times New Roman" w:cs="Times New Roman"/>
          <w:sz w:val="24"/>
          <w:szCs w:val="24"/>
        </w:rPr>
        <w:fldChar w:fldCharType="end"/>
      </w:r>
      <w:r w:rsidRPr="00DD2D90">
        <w:rPr>
          <w:rFonts w:ascii="Times New Roman" w:eastAsia="Times New Roman" w:hAnsi="Times New Roman" w:cs="Times New Roman"/>
          <w:sz w:val="24"/>
          <w:szCs w:val="24"/>
          <w:lang w:val="en-US"/>
        </w:rPr>
        <w:t xml:space="preserve">. A case study design was selected because it allows for a holistic, detailed examination of a contemporary phenomenon within its real-life context, especially when the boundaries between the phenomenon and its context are not clearly evident </w:t>
      </w:r>
      <w:r w:rsidRPr="00DD2D90">
        <w:rPr>
          <w:rFonts w:ascii="Times New Roman" w:eastAsia="Times New Roman" w:hAnsi="Times New Roman" w:cs="Times New Roman"/>
          <w:sz w:val="24"/>
          <w:szCs w:val="24"/>
          <w:lang w:val="en-US"/>
        </w:rPr>
        <w:fldChar w:fldCharType="begin"/>
      </w:r>
      <w:r w:rsidRPr="00DD2D90">
        <w:rPr>
          <w:rFonts w:ascii="Times New Roman" w:eastAsia="Times New Roman" w:hAnsi="Times New Roman" w:cs="Times New Roman"/>
          <w:sz w:val="24"/>
          <w:szCs w:val="24"/>
          <w:lang w:val="en-US"/>
        </w:rPr>
        <w:instrText xml:space="preserve"> ADDIN ZOTERO_ITEM CSL_CITATION {"citationID":"xZw45Zfu","properties":{"formattedCitation":"(Yin, 2018)","plainCitation":"(Yin, 2018)","noteIndex":0},"citationItems":[{"id":171,"uris":["http://zotero.org/users/local/YszQGxaT/items/XZMUHQ25"],"itemData":{"id":171,"type":"book","abstract":"Winner of the 2019 McGuffey Longevity Award from the Textbook &amp; Academic Authors Association (TAA)  Recognized as one of the most cited methodology books in the social sciences, the Sixth Edition of Robert K. Yin′s bestselling text provides a complete portal to the world of case study research. With the integration of 11 applications in this edition, the book gives readers access to exemplary case studies drawn from a wide variety of academic and applied fields. Ultimately, Case Study Research and Applications will guide students in the successful use and application of the case study research method.","ISBN":"978-1-5063-3617-6","language":"en","note":"Google-Books-ID: uX1ZDwAAQBAJ","number-of-pages":"391","publisher":"SAGE Publications","source":"Google Books","title":"Case Study Research and Applications: Design and Methods","title-short":"Case Study Research and Applications","author":[{"family":"Yin","given":"Robert K."}],"issued":{"date-parts":[["2018"]]}}}],"schema":"https://github.com/citation-style-language/schema/raw/master/csl-citation.json"} </w:instrText>
      </w:r>
      <w:r w:rsidRPr="00DD2D90">
        <w:rPr>
          <w:rFonts w:ascii="Times New Roman" w:eastAsia="Times New Roman" w:hAnsi="Times New Roman" w:cs="Times New Roman"/>
          <w:sz w:val="24"/>
          <w:szCs w:val="24"/>
          <w:lang w:val="en-US"/>
        </w:rPr>
        <w:fldChar w:fldCharType="separate"/>
      </w:r>
      <w:r w:rsidRPr="00DD2D90">
        <w:rPr>
          <w:rFonts w:ascii="Times New Roman" w:eastAsia="Times New Roman" w:hAnsi="Times New Roman" w:cs="Times New Roman"/>
          <w:sz w:val="24"/>
          <w:szCs w:val="24"/>
          <w:lang w:val="en-US"/>
        </w:rPr>
        <w:t>(Yin, 2018)</w:t>
      </w:r>
      <w:r w:rsidRPr="00DD2D90">
        <w:rPr>
          <w:rFonts w:ascii="Times New Roman" w:eastAsia="Times New Roman" w:hAnsi="Times New Roman" w:cs="Times New Roman"/>
          <w:sz w:val="24"/>
          <w:szCs w:val="24"/>
        </w:rPr>
        <w:fldChar w:fldCharType="end"/>
      </w:r>
      <w:r w:rsidRPr="00DD2D90">
        <w:rPr>
          <w:rFonts w:ascii="Times New Roman" w:eastAsia="Times New Roman" w:hAnsi="Times New Roman" w:cs="Times New Roman"/>
          <w:sz w:val="24"/>
          <w:szCs w:val="24"/>
          <w:lang w:val="en-US"/>
        </w:rPr>
        <w:t>. In this study, the case was defined as students’ emotional development experiences within a single public junior secondary school, examined through multiple sources of evidence.</w:t>
      </w:r>
    </w:p>
    <w:p w14:paraId="1B0DAD1A" w14:textId="77777777" w:rsidR="00DD2D90" w:rsidRDefault="00DD2D90" w:rsidP="00DD2D90">
      <w:pPr>
        <w:spacing w:after="0" w:line="360" w:lineRule="auto"/>
        <w:ind w:firstLine="567"/>
        <w:jc w:val="both"/>
        <w:rPr>
          <w:rFonts w:ascii="Times New Roman" w:eastAsia="Times New Roman" w:hAnsi="Times New Roman" w:cs="Times New Roman"/>
          <w:sz w:val="24"/>
          <w:szCs w:val="24"/>
          <w:lang w:val="en-US"/>
        </w:rPr>
      </w:pPr>
      <w:r w:rsidRPr="00DD2D90">
        <w:rPr>
          <w:rFonts w:ascii="Times New Roman" w:eastAsia="Times New Roman" w:hAnsi="Times New Roman" w:cs="Times New Roman"/>
          <w:sz w:val="24"/>
          <w:szCs w:val="24"/>
          <w:lang w:val="en-US"/>
        </w:rPr>
        <w:t xml:space="preserve">The primary participants were eighth-grade students enrolled in a public junior secondary school in Gowa Regency, Indonesia. Participants were selected through purposive sampling to ensure information-rich cases relevant to the research objectives </w:t>
      </w:r>
      <w:r w:rsidRPr="00DD2D90">
        <w:rPr>
          <w:rFonts w:ascii="Times New Roman" w:eastAsia="Times New Roman" w:hAnsi="Times New Roman" w:cs="Times New Roman"/>
          <w:sz w:val="24"/>
          <w:szCs w:val="24"/>
          <w:lang w:val="en-US"/>
        </w:rPr>
        <w:fldChar w:fldCharType="begin"/>
      </w:r>
      <w:r w:rsidRPr="00DD2D90">
        <w:rPr>
          <w:rFonts w:ascii="Times New Roman" w:eastAsia="Times New Roman" w:hAnsi="Times New Roman" w:cs="Times New Roman"/>
          <w:sz w:val="24"/>
          <w:szCs w:val="24"/>
          <w:lang w:val="en-US"/>
        </w:rPr>
        <w:instrText xml:space="preserve"> ADDIN ZOTERO_ITEM CSL_CITATION {"citationID":"jERwbJID","properties":{"formattedCitation":"(Patton, 2015)","plainCitation":"(Patton, 2015)","noteIndex":0},"citationItems":[{"id":152,"uris":["http://zotero.org/users/local/YszQGxaT/items/RH2QEC87"],"itemData":{"id":152,"type":"book","abstract":"Drawing on more than 40 years of experience conducting applied social science research and program evaluation, author Michael Quinn Patton has crafted the most comprehensive and systematic book on qualitative research and evaluation methods, inquiry frameworks, and analysis options available today. Now offering more balance between applied research and evaluation, this Fourth Edition illuminates all aspects of qualitative inquiry through new examples, stories, and cartoons; more than a hundred new summarizing and synthesizing exhibits; and a wide range of new highlight sections/sidebars that elaborate on important and emergent issues. For the first time, full case studies are included to illustrate extended research and evaluation examples. In addition, each chapter features an extended \"rumination,\" written in a voice and style more emphatic and engaging than traditional textbook style, about a core issue of persistent debate and controversy.","ISBN":"978-1-4833-1481-5","language":"en","number-of-pages":"1689","publisher":"SAGE Publications","source":"Google Books","title":"Qualitative Research &amp; Evaluation Methods: Integrating Theory and Practice","title-short":"Qualitative Research &amp; Evaluation Methods","author":[{"family":"Patton","given":"Michael Quinn"}],"issued":{"date-parts":[["2015"]]}}}],"schema":"https://github.com/citation-style-language/schema/raw/master/csl-citation.json"} </w:instrText>
      </w:r>
      <w:r w:rsidRPr="00DD2D90">
        <w:rPr>
          <w:rFonts w:ascii="Times New Roman" w:eastAsia="Times New Roman" w:hAnsi="Times New Roman" w:cs="Times New Roman"/>
          <w:sz w:val="24"/>
          <w:szCs w:val="24"/>
          <w:lang w:val="en-US"/>
        </w:rPr>
        <w:fldChar w:fldCharType="separate"/>
      </w:r>
      <w:r w:rsidRPr="00DD2D90">
        <w:rPr>
          <w:rFonts w:ascii="Times New Roman" w:eastAsia="Times New Roman" w:hAnsi="Times New Roman" w:cs="Times New Roman"/>
          <w:sz w:val="24"/>
          <w:szCs w:val="24"/>
          <w:lang w:val="en-US"/>
        </w:rPr>
        <w:t>(Patton, 2015)</w:t>
      </w:r>
      <w:r w:rsidRPr="00DD2D90">
        <w:rPr>
          <w:rFonts w:ascii="Times New Roman" w:eastAsia="Times New Roman" w:hAnsi="Times New Roman" w:cs="Times New Roman"/>
          <w:sz w:val="24"/>
          <w:szCs w:val="24"/>
        </w:rPr>
        <w:fldChar w:fldCharType="end"/>
      </w:r>
      <w:r w:rsidRPr="00DD2D90">
        <w:rPr>
          <w:rFonts w:ascii="Times New Roman" w:eastAsia="Times New Roman" w:hAnsi="Times New Roman" w:cs="Times New Roman"/>
          <w:sz w:val="24"/>
          <w:szCs w:val="24"/>
          <w:lang w:val="en-US"/>
        </w:rPr>
        <w:t xml:space="preserve">. Selection criteria included students’ willingness to communicate openly, variation in emotional experiences, and active involvement in classroom learning and peer interactions. To strengthen the depth and credibility of the analysis, additional informants were included, consisting of guidance and counseling teachers, homeroom teachers, and selected parents. The inclusion of multiple participant groups enabled triangulation of perspectives and facilitated a more comprehensive understanding of students’ emotional challenges across school and family contexts </w:t>
      </w:r>
      <w:r w:rsidRPr="00DD2D90">
        <w:rPr>
          <w:rFonts w:ascii="Times New Roman" w:eastAsia="Times New Roman" w:hAnsi="Times New Roman" w:cs="Times New Roman"/>
          <w:sz w:val="24"/>
          <w:szCs w:val="24"/>
          <w:lang w:val="en-US"/>
        </w:rPr>
        <w:fldChar w:fldCharType="begin"/>
      </w:r>
      <w:r w:rsidRPr="00DD2D90">
        <w:rPr>
          <w:rFonts w:ascii="Times New Roman" w:eastAsia="Times New Roman" w:hAnsi="Times New Roman" w:cs="Times New Roman"/>
          <w:sz w:val="24"/>
          <w:szCs w:val="24"/>
          <w:lang w:val="en-US"/>
        </w:rPr>
        <w:instrText xml:space="preserve"> ADDIN ZOTERO_ITEM CSL_CITATION {"citationID":"DT8bmsq0","properties":{"formattedCitation":"(Merriam &amp; Tisdell, 2016)","plainCitation":"(Merriam &amp; Tisdell, 2016)","noteIndex":0},"citationItems":[{"id":148,"uris":["http://zotero.org/users/local/YszQGxaT/items/KX44BXBS"],"itemData":{"id":148,"type":"book","abstract":"The bestselling guide to qualitative research, updated and expanded Qualitative Research is the essential guide to understanding, designing, conducting, and presenting a qualitative research study. This fourth edition features new material covering mixed methods, action research, arts-based research, online data sources, and the latest in data analysis, including data analysis software packages as well as narrative and poetic analysis strategies. A new section offers multiple ways of presenting qualitative research findings. The reader-friendly, jargon-free style makes this book accessible to both novice and experienced researchers, emphasizing the role of a theoretical framework in designing a study while providing practical guidance. Qualitative research reaches beyond the what, where, and when of quantitative analysis to investigate the why and how behind human behavior and the reasons that govern such behavior, but this presents a number of significant challenges. This guide is an invaluable reference for students and practitioners alike, providing the deep understanding that this sometimes difficult area of research requires to produce accurate results. The book contains a step-by-step guide to analyzing qualitative data and an addendum for graduate students with a template for a thesis, dissertation, or grant application.  Build a strong foundation in qualitative research theory and application Design and implement effective qualitative research studies Communicate findings more successfully with clear presentation Explore data sources, data analysis tools, and the different types of research","ISBN":"978-1-119-00361-8","language":"en","note":"Google-Books-ID: JFN_BwAAQBAJ","number-of-pages":"375","publisher":"John Wiley &amp; Sons","source":"Google Books","title":"Qualitative Research: A Guide to Design and Implementation","title-short":"Qualitative Research","author":[{"family":"Merriam","given":"Sharan B."},{"family":"Tisdell","given":"Elizabeth J."}],"issued":{"date-parts":[["2016"]]}}}],"schema":"https://github.com/citation-style-language/schema/raw/master/csl-citation.json"} </w:instrText>
      </w:r>
      <w:r w:rsidRPr="00DD2D90">
        <w:rPr>
          <w:rFonts w:ascii="Times New Roman" w:eastAsia="Times New Roman" w:hAnsi="Times New Roman" w:cs="Times New Roman"/>
          <w:sz w:val="24"/>
          <w:szCs w:val="24"/>
          <w:lang w:val="en-US"/>
        </w:rPr>
        <w:fldChar w:fldCharType="separate"/>
      </w:r>
      <w:r w:rsidRPr="00DD2D90">
        <w:rPr>
          <w:rFonts w:ascii="Times New Roman" w:eastAsia="Times New Roman" w:hAnsi="Times New Roman" w:cs="Times New Roman"/>
          <w:sz w:val="24"/>
          <w:szCs w:val="24"/>
          <w:lang w:val="en-US"/>
        </w:rPr>
        <w:t>(Merriam &amp; Tisdell, 2016)</w:t>
      </w:r>
      <w:r w:rsidRPr="00DD2D90">
        <w:rPr>
          <w:rFonts w:ascii="Times New Roman" w:eastAsia="Times New Roman" w:hAnsi="Times New Roman" w:cs="Times New Roman"/>
          <w:sz w:val="24"/>
          <w:szCs w:val="24"/>
        </w:rPr>
        <w:fldChar w:fldCharType="end"/>
      </w:r>
      <w:r w:rsidRPr="00DD2D90">
        <w:rPr>
          <w:rFonts w:ascii="Times New Roman" w:eastAsia="Times New Roman" w:hAnsi="Times New Roman" w:cs="Times New Roman"/>
          <w:sz w:val="24"/>
          <w:szCs w:val="24"/>
          <w:lang w:val="en-US"/>
        </w:rPr>
        <w:t>.</w:t>
      </w:r>
    </w:p>
    <w:p w14:paraId="525054C4" w14:textId="77777777" w:rsidR="00DD2D90" w:rsidRDefault="00DD2D90" w:rsidP="00DD2D90">
      <w:pPr>
        <w:spacing w:after="0" w:line="360" w:lineRule="auto"/>
        <w:ind w:firstLine="567"/>
        <w:jc w:val="both"/>
        <w:rPr>
          <w:rFonts w:ascii="Times New Roman" w:eastAsia="Times New Roman" w:hAnsi="Times New Roman" w:cs="Times New Roman"/>
          <w:sz w:val="24"/>
          <w:szCs w:val="24"/>
          <w:lang w:val="en-US"/>
        </w:rPr>
      </w:pPr>
      <w:r w:rsidRPr="00DD2D90">
        <w:rPr>
          <w:rFonts w:ascii="Times New Roman" w:eastAsia="Times New Roman" w:hAnsi="Times New Roman" w:cs="Times New Roman"/>
          <w:sz w:val="24"/>
          <w:szCs w:val="24"/>
          <w:lang w:val="en-US"/>
        </w:rPr>
        <w:t xml:space="preserve">Data collection involved three primary methods: participant observation, semi-structured in-depth interviews, and document analysis. Participant observation took place during classroom instruction and school activities to capture students’ emotional expressions, behavioral responses, and patterns of social interaction in situ. Semi-structured interviews explored students’ subjective emotional experiences, perceived emotional conflicts, and strategies for managing emotions in both school and home environments. Interviews with </w:t>
      </w:r>
      <w:r w:rsidRPr="00DD2D90">
        <w:rPr>
          <w:rFonts w:ascii="Times New Roman" w:eastAsia="Times New Roman" w:hAnsi="Times New Roman" w:cs="Times New Roman"/>
          <w:sz w:val="24"/>
          <w:szCs w:val="24"/>
          <w:lang w:val="en-US"/>
        </w:rPr>
        <w:lastRenderedPageBreak/>
        <w:t xml:space="preserve">teachers and parents focused on emotional support practices, interaction patterns, and institutional responses to students’ emotional needs. Relevant documents, including counseling records, student development reports, and available reflective notes, were examined to supplement and corroborate observational and interview data. The use of multiple data sources is a key feature of rigorous case study research </w:t>
      </w:r>
      <w:r w:rsidRPr="00DD2D90">
        <w:rPr>
          <w:rFonts w:ascii="Times New Roman" w:eastAsia="Times New Roman" w:hAnsi="Times New Roman" w:cs="Times New Roman"/>
          <w:sz w:val="24"/>
          <w:szCs w:val="24"/>
          <w:lang w:val="en-US"/>
        </w:rPr>
        <w:fldChar w:fldCharType="begin"/>
      </w:r>
      <w:r w:rsidRPr="00DD2D90">
        <w:rPr>
          <w:rFonts w:ascii="Times New Roman" w:eastAsia="Times New Roman" w:hAnsi="Times New Roman" w:cs="Times New Roman"/>
          <w:sz w:val="24"/>
          <w:szCs w:val="24"/>
          <w:lang w:val="en-US"/>
        </w:rPr>
        <w:instrText xml:space="preserve"> ADDIN ZOTERO_ITEM CSL_CITATION {"citationID":"pMqY7Kef","properties":{"formattedCitation":"(Yin, 2018)","plainCitation":"(Yin, 2018)","noteIndex":0},"citationItems":[{"id":171,"uris":["http://zotero.org/users/local/YszQGxaT/items/XZMUHQ25"],"itemData":{"id":171,"type":"book","abstract":"Winner of the 2019 McGuffey Longevity Award from the Textbook &amp; Academic Authors Association (TAA)  Recognized as one of the most cited methodology books in the social sciences, the Sixth Edition of Robert K. Yin′s bestselling text provides a complete portal to the world of case study research. With the integration of 11 applications in this edition, the book gives readers access to exemplary case studies drawn from a wide variety of academic and applied fields. Ultimately, Case Study Research and Applications will guide students in the successful use and application of the case study research method.","ISBN":"978-1-5063-3617-6","language":"en","note":"Google-Books-ID: uX1ZDwAAQBAJ","number-of-pages":"391","publisher":"SAGE Publications","source":"Google Books","title":"Case Study Research and Applications: Design and Methods","title-short":"Case Study Research and Applications","author":[{"family":"Yin","given":"Robert K."}],"issued":{"date-parts":[["2018"]]}}}],"schema":"https://github.com/citation-style-language/schema/raw/master/csl-citation.json"} </w:instrText>
      </w:r>
      <w:r w:rsidRPr="00DD2D90">
        <w:rPr>
          <w:rFonts w:ascii="Times New Roman" w:eastAsia="Times New Roman" w:hAnsi="Times New Roman" w:cs="Times New Roman"/>
          <w:sz w:val="24"/>
          <w:szCs w:val="24"/>
          <w:lang w:val="en-US"/>
        </w:rPr>
        <w:fldChar w:fldCharType="separate"/>
      </w:r>
      <w:r w:rsidRPr="00DD2D90">
        <w:rPr>
          <w:rFonts w:ascii="Times New Roman" w:eastAsia="Times New Roman" w:hAnsi="Times New Roman" w:cs="Times New Roman"/>
          <w:sz w:val="24"/>
          <w:szCs w:val="24"/>
          <w:lang w:val="en-US"/>
        </w:rPr>
        <w:t>(Yin, 2018)</w:t>
      </w:r>
      <w:r w:rsidRPr="00DD2D90">
        <w:rPr>
          <w:rFonts w:ascii="Times New Roman" w:eastAsia="Times New Roman" w:hAnsi="Times New Roman" w:cs="Times New Roman"/>
          <w:sz w:val="24"/>
          <w:szCs w:val="24"/>
        </w:rPr>
        <w:fldChar w:fldCharType="end"/>
      </w:r>
      <w:r w:rsidRPr="00DD2D90">
        <w:rPr>
          <w:rFonts w:ascii="Times New Roman" w:eastAsia="Times New Roman" w:hAnsi="Times New Roman" w:cs="Times New Roman"/>
          <w:sz w:val="24"/>
          <w:szCs w:val="24"/>
          <w:lang w:val="en-US"/>
        </w:rPr>
        <w:t>.</w:t>
      </w:r>
    </w:p>
    <w:p w14:paraId="531E7C81" w14:textId="77777777" w:rsidR="00DD2D90" w:rsidRDefault="00DD2D90" w:rsidP="00DD2D90">
      <w:pPr>
        <w:spacing w:after="0" w:line="360" w:lineRule="auto"/>
        <w:ind w:firstLine="567"/>
        <w:jc w:val="both"/>
        <w:rPr>
          <w:rFonts w:ascii="Times New Roman" w:eastAsia="Times New Roman" w:hAnsi="Times New Roman" w:cs="Times New Roman"/>
          <w:sz w:val="24"/>
          <w:szCs w:val="24"/>
          <w:lang w:val="en-US"/>
        </w:rPr>
      </w:pPr>
      <w:r w:rsidRPr="00DD2D90">
        <w:rPr>
          <w:rFonts w:ascii="Times New Roman" w:eastAsia="Times New Roman" w:hAnsi="Times New Roman" w:cs="Times New Roman"/>
          <w:sz w:val="24"/>
          <w:szCs w:val="24"/>
          <w:lang w:val="en-US"/>
        </w:rPr>
        <w:t xml:space="preserve">To ensure trustworthiness, several strategies were employed in line with qualitative research standards. Source and method triangulation were employed to compare data from different participants and data-collection techniques. Member checking was conducted by sharing preliminary interpretations with selected participants to verify the accuracy and resonance of the findings with their experiences. These strategies align with the criteria of credibility and dependability as articulated by </w:t>
      </w:r>
      <w:r w:rsidRPr="00DD2D90">
        <w:rPr>
          <w:rFonts w:ascii="Times New Roman" w:eastAsia="Times New Roman" w:hAnsi="Times New Roman" w:cs="Times New Roman"/>
          <w:sz w:val="24"/>
          <w:szCs w:val="24"/>
          <w:lang w:val="en-US"/>
        </w:rPr>
        <w:fldChar w:fldCharType="begin"/>
      </w:r>
      <w:r w:rsidRPr="00DD2D90">
        <w:rPr>
          <w:rFonts w:ascii="Times New Roman" w:eastAsia="Times New Roman" w:hAnsi="Times New Roman" w:cs="Times New Roman"/>
          <w:sz w:val="24"/>
          <w:szCs w:val="24"/>
          <w:lang w:val="en-US"/>
        </w:rPr>
        <w:instrText xml:space="preserve"> ADDIN ZOTERO_ITEM CSL_CITATION {"citationID":"PZ7KGCQb","properties":{"formattedCitation":"(Lincoln &amp; Guba, 1985)","plainCitation":"(Lincoln &amp; Guba, 1985)","noteIndex":0},"citationItems":[{"id":138,"uris":["http://zotero.org/users/local/YszQGxaT/items/J97WLTRT"],"itemData":{"id":138,"type":"book","abstract":"Showing how science is limited by its dominant mode of investigation, Lincoln and Guba propose an alternative paradigm--a \"naturalistic\" rather than \"rationalistic\" method of inquiry--in which the investigator avoids manipulating research outcomes. A \"paradigm shift\" is under way in many fields, they contend, and go on to describe the different assumptions of the two approaches regarding the nature of reality, subject-object interaction, the possibility of generalization, the concept of causality, and the role of values. The authors also offer guidance for research in the field (where, they say, naturalistic inquiry always takes place). Useful tips are given, for example, on \"designing\" a study as it unfolds, establishing \"trustworthiness,\" and writing a case report. This book helps researchers \"both to understand and to do naturalistic inquiry.\" Of particular interest to educational researchers, it is valuable for all social scientists involved with questions of qualitative and quantitative methodology.","ISBN":"978-0-8039-2431-4","language":"en","note":"Google-Books-ID: 2oA9aWlNeooC","number-of-pages":"422","publisher":"SAGE","source":"Google Books","title":"Naturalistic Inquiry","author":[{"family":"Lincoln","given":"Yvonna S."},{"family":"Guba","given":"Egon G."}],"issued":{"date-parts":[["1985",4]]}}}],"schema":"https://github.com/citation-style-language/schema/raw/master/csl-citation.json"} </w:instrText>
      </w:r>
      <w:r w:rsidRPr="00DD2D90">
        <w:rPr>
          <w:rFonts w:ascii="Times New Roman" w:eastAsia="Times New Roman" w:hAnsi="Times New Roman" w:cs="Times New Roman"/>
          <w:sz w:val="24"/>
          <w:szCs w:val="24"/>
          <w:lang w:val="en-US"/>
        </w:rPr>
        <w:fldChar w:fldCharType="separate"/>
      </w:r>
      <w:r w:rsidRPr="00DD2D90">
        <w:rPr>
          <w:rFonts w:ascii="Times New Roman" w:eastAsia="Times New Roman" w:hAnsi="Times New Roman" w:cs="Times New Roman"/>
          <w:sz w:val="24"/>
          <w:szCs w:val="24"/>
          <w:lang w:val="en-US"/>
        </w:rPr>
        <w:t>Lincoln and Guba (1985)</w:t>
      </w:r>
      <w:r w:rsidRPr="00DD2D90">
        <w:rPr>
          <w:rFonts w:ascii="Times New Roman" w:eastAsia="Times New Roman" w:hAnsi="Times New Roman" w:cs="Times New Roman"/>
          <w:sz w:val="24"/>
          <w:szCs w:val="24"/>
        </w:rPr>
        <w:fldChar w:fldCharType="end"/>
      </w:r>
      <w:r w:rsidRPr="00DD2D90">
        <w:rPr>
          <w:rFonts w:ascii="Times New Roman" w:eastAsia="Times New Roman" w:hAnsi="Times New Roman" w:cs="Times New Roman"/>
          <w:sz w:val="24"/>
          <w:szCs w:val="24"/>
          <w:lang w:val="en-US"/>
        </w:rPr>
        <w:t xml:space="preserve"> and are widely recognized as essential for enhancing the rigor of qualitative research.</w:t>
      </w:r>
    </w:p>
    <w:p w14:paraId="5C2B5C5F" w14:textId="065B5D05" w:rsidR="00DB4057" w:rsidRDefault="00DD2D90" w:rsidP="00DD2D90">
      <w:pPr>
        <w:spacing w:after="0" w:line="360" w:lineRule="auto"/>
        <w:ind w:firstLine="567"/>
        <w:jc w:val="both"/>
        <w:rPr>
          <w:rFonts w:ascii="Times New Roman" w:eastAsia="Times New Roman" w:hAnsi="Times New Roman" w:cs="Times New Roman"/>
          <w:sz w:val="24"/>
          <w:szCs w:val="24"/>
          <w:lang w:val="en-US"/>
        </w:rPr>
      </w:pPr>
      <w:r w:rsidRPr="00DD2D90">
        <w:rPr>
          <w:rFonts w:ascii="Times New Roman" w:eastAsia="Times New Roman" w:hAnsi="Times New Roman" w:cs="Times New Roman"/>
          <w:sz w:val="24"/>
          <w:szCs w:val="24"/>
          <w:lang w:val="en-US"/>
        </w:rPr>
        <w:t xml:space="preserve">Data analysis was conducted thematically using an iterative, reflexive process. The analysis involved data familiarization, initial coding, theme development, and refinement through constant comparison across data sources </w:t>
      </w:r>
      <w:r w:rsidRPr="00DD2D90">
        <w:rPr>
          <w:rFonts w:ascii="Times New Roman" w:eastAsia="Times New Roman" w:hAnsi="Times New Roman" w:cs="Times New Roman"/>
          <w:sz w:val="24"/>
          <w:szCs w:val="24"/>
          <w:lang w:val="en-US"/>
        </w:rPr>
        <w:fldChar w:fldCharType="begin"/>
      </w:r>
      <w:r w:rsidRPr="00DD2D90">
        <w:rPr>
          <w:rFonts w:ascii="Times New Roman" w:eastAsia="Times New Roman" w:hAnsi="Times New Roman" w:cs="Times New Roman"/>
          <w:sz w:val="24"/>
          <w:szCs w:val="24"/>
          <w:lang w:val="en-US"/>
        </w:rPr>
        <w:instrText xml:space="preserve"> ADDIN ZOTERO_ITEM CSL_CITATION {"citationID":"zi9ruB9s","properties":{"formattedCitation":"(Braun &amp; Clarke, 2006)","plainCitation":"(Braun &amp; Clarke, 2006)","noteIndex":0},"citationItems":[{"id":122,"uris":["http://zotero.org/users/local/YszQGxaT/items/VXJP6ISN"],"itemData":{"id":122,"type":"article-journal","abstract":"Thematic analysis is a poorly demarcated, rarely acknowledged, yet widely used qualitative analytic method within psychology. In this paper, we argue that it offers an accessible and theoretically flexible approach to analysing qualitative data. We outline what thematic analysis is, locating it in relation to other qualitative analytic methods that search for themes or patterns, and in relation to different epistemological and ontological positions. We then provide clear guidelines to those wanting to start thematic analysis, or conduct it in a more deliberate and rigorous way, and consider potential pitfalls in conducting thematic analysis. Finally, we outline the disadvantages and advantages of thematic analysis. We conclude by advocating thematic analysis as a useful and flexible method for qualitative research in and beyond psychology.","container-title":"Qualitative Research in Psychology","DOI":"10.1191/1478088706qp063oa","journalAbbreviation":"Qualitative Research in Psychology","page":"77-101","source":"ResearchGate","title":"Using thematic analysis in psychology","volume":"3","author":[{"family":"Braun","given":"Virginia"},{"family":"Clarke","given":"Victoria"}],"issued":{"date-parts":[["2006",1,1]]}}}],"schema":"https://github.com/citation-style-language/schema/raw/master/csl-citation.json"} </w:instrText>
      </w:r>
      <w:r w:rsidRPr="00DD2D90">
        <w:rPr>
          <w:rFonts w:ascii="Times New Roman" w:eastAsia="Times New Roman" w:hAnsi="Times New Roman" w:cs="Times New Roman"/>
          <w:sz w:val="24"/>
          <w:szCs w:val="24"/>
          <w:lang w:val="en-US"/>
        </w:rPr>
        <w:fldChar w:fldCharType="separate"/>
      </w:r>
      <w:r w:rsidRPr="00DD2D90">
        <w:rPr>
          <w:rFonts w:ascii="Times New Roman" w:eastAsia="Times New Roman" w:hAnsi="Times New Roman" w:cs="Times New Roman"/>
          <w:sz w:val="24"/>
          <w:szCs w:val="24"/>
          <w:lang w:val="en-US"/>
        </w:rPr>
        <w:t>(Braun &amp; Clarke, 2006)</w:t>
      </w:r>
      <w:r w:rsidRPr="00DD2D90">
        <w:rPr>
          <w:rFonts w:ascii="Times New Roman" w:eastAsia="Times New Roman" w:hAnsi="Times New Roman" w:cs="Times New Roman"/>
          <w:sz w:val="24"/>
          <w:szCs w:val="24"/>
        </w:rPr>
        <w:fldChar w:fldCharType="end"/>
      </w:r>
      <w:r w:rsidRPr="00DD2D90">
        <w:rPr>
          <w:rFonts w:ascii="Times New Roman" w:eastAsia="Times New Roman" w:hAnsi="Times New Roman" w:cs="Times New Roman"/>
          <w:sz w:val="24"/>
          <w:szCs w:val="24"/>
          <w:lang w:val="en-US"/>
        </w:rPr>
        <w:t xml:space="preserve">. The analytical process was recursive rather than linear, allowing ongoing movement between data collection and interpretation, consistent with qualitative analytic principles </w:t>
      </w:r>
      <w:r w:rsidRPr="00DD2D90">
        <w:rPr>
          <w:rFonts w:ascii="Times New Roman" w:eastAsia="Times New Roman" w:hAnsi="Times New Roman" w:cs="Times New Roman"/>
          <w:sz w:val="24"/>
          <w:szCs w:val="24"/>
          <w:lang w:val="en-US"/>
        </w:rPr>
        <w:fldChar w:fldCharType="begin"/>
      </w:r>
      <w:r w:rsidRPr="00DD2D90">
        <w:rPr>
          <w:rFonts w:ascii="Times New Roman" w:eastAsia="Times New Roman" w:hAnsi="Times New Roman" w:cs="Times New Roman"/>
          <w:sz w:val="24"/>
          <w:szCs w:val="24"/>
          <w:lang w:val="en-US"/>
        </w:rPr>
        <w:instrText xml:space="preserve"> ADDIN ZOTERO_ITEM CSL_CITATION {"citationID":"oDyqTxet","properties":{"formattedCitation":"(Creswell, J. W., &amp; Poth, C. N., 2018)","plainCitation":"(Creswell, J. W., &amp; Poth, C. N., 2018)","noteIndex":0},"citationItems":[{"id":123,"uris":["http://zotero.org/users/local/YszQGxaT/items/NS9MIEEX"],"itemData":{"id":123,"type":"webpage","abstract":"Creswell and Poth, 2018, Qualitative Inquiry 4th","language":"en","title":"Qualitative inquiry and research design: Choosing among five approaches (4th ed.)","URL":"https://pubhtml5.com/enuk/cykh/Creswell_and_Poth%2C_2018%2C_Qualitative_Inquiry_4th/","author":[{"family":"Creswell, J. W.,","given":""},{"family":"Poth, C. N.","given":""}],"accessed":{"date-parts":[["2025",12,23]]},"issued":{"date-parts":[["2018"]]}}}],"schema":"https://github.com/citation-style-language/schema/raw/master/csl-citation.json"} </w:instrText>
      </w:r>
      <w:r w:rsidRPr="00DD2D90">
        <w:rPr>
          <w:rFonts w:ascii="Times New Roman" w:eastAsia="Times New Roman" w:hAnsi="Times New Roman" w:cs="Times New Roman"/>
          <w:sz w:val="24"/>
          <w:szCs w:val="24"/>
          <w:lang w:val="en-US"/>
        </w:rPr>
        <w:fldChar w:fldCharType="separate"/>
      </w:r>
      <w:r w:rsidRPr="00DD2D90">
        <w:rPr>
          <w:rFonts w:ascii="Times New Roman" w:eastAsia="Times New Roman" w:hAnsi="Times New Roman" w:cs="Times New Roman"/>
          <w:sz w:val="24"/>
          <w:szCs w:val="24"/>
          <w:lang w:val="en-US"/>
        </w:rPr>
        <w:t>(Creswell &amp; Poth, 2018)</w:t>
      </w:r>
      <w:r w:rsidRPr="00DD2D90">
        <w:rPr>
          <w:rFonts w:ascii="Times New Roman" w:eastAsia="Times New Roman" w:hAnsi="Times New Roman" w:cs="Times New Roman"/>
          <w:sz w:val="24"/>
          <w:szCs w:val="24"/>
        </w:rPr>
        <w:fldChar w:fldCharType="end"/>
      </w:r>
      <w:r w:rsidRPr="00DD2D90">
        <w:rPr>
          <w:rFonts w:ascii="Times New Roman" w:eastAsia="Times New Roman" w:hAnsi="Times New Roman" w:cs="Times New Roman"/>
          <w:sz w:val="24"/>
          <w:szCs w:val="24"/>
          <w:lang w:val="en-US"/>
        </w:rPr>
        <w:t xml:space="preserve">. In interpreting the findings, Erikson’s psychosocial development theory, particularly the stage of </w:t>
      </w:r>
      <w:r w:rsidRPr="00DD2D90">
        <w:rPr>
          <w:rFonts w:ascii="Times New Roman" w:eastAsia="Times New Roman" w:hAnsi="Times New Roman" w:cs="Times New Roman"/>
          <w:i/>
          <w:iCs/>
          <w:sz w:val="24"/>
          <w:szCs w:val="24"/>
          <w:lang w:val="en-US"/>
        </w:rPr>
        <w:t>identity versus role confusion</w:t>
      </w:r>
      <w:r w:rsidRPr="00DD2D90">
        <w:rPr>
          <w:rFonts w:ascii="Times New Roman" w:eastAsia="Times New Roman" w:hAnsi="Times New Roman" w:cs="Times New Roman"/>
          <w:sz w:val="24"/>
          <w:szCs w:val="24"/>
          <w:lang w:val="en-US"/>
        </w:rPr>
        <w:t>, was used as an interpretive framework to situate students’ emotional challenges within established developmental theory. Rather than functioning as a prescriptive model, this theoretical lens guided the analytical interpretation by linking empirical patterns to broader concepts of adolescent emotional development.</w:t>
      </w:r>
    </w:p>
    <w:p w14:paraId="7A0C2C2E" w14:textId="77777777" w:rsidR="00DD2D90" w:rsidRPr="00DD2D90" w:rsidRDefault="00DD2D90" w:rsidP="00DD2D90">
      <w:pPr>
        <w:spacing w:after="0" w:line="360" w:lineRule="auto"/>
        <w:ind w:firstLine="567"/>
        <w:jc w:val="both"/>
        <w:rPr>
          <w:rFonts w:ascii="Times New Roman" w:eastAsia="Times New Roman" w:hAnsi="Times New Roman" w:cs="Times New Roman"/>
          <w:sz w:val="24"/>
          <w:szCs w:val="24"/>
          <w:lang w:val="en-US"/>
        </w:rPr>
      </w:pPr>
    </w:p>
    <w:p w14:paraId="068399A8" w14:textId="4B5ADF32" w:rsidR="00DB4057" w:rsidRPr="00DD2D90" w:rsidRDefault="00DD2D90" w:rsidP="00DD2D90">
      <w:pPr>
        <w:pBdr>
          <w:top w:val="nil"/>
          <w:left w:val="nil"/>
          <w:bottom w:val="nil"/>
          <w:right w:val="nil"/>
          <w:between w:val="nil"/>
        </w:pBdr>
        <w:spacing w:after="0" w:line="360" w:lineRule="auto"/>
        <w:jc w:val="center"/>
        <w:rPr>
          <w:rFonts w:ascii="Times New Roman" w:eastAsia="Times New Roman" w:hAnsi="Times New Roman" w:cs="Times New Roman"/>
          <w:b/>
          <w:smallCaps/>
          <w:color w:val="000000"/>
          <w:sz w:val="24"/>
          <w:szCs w:val="24"/>
          <w:lang w:val="en-US"/>
        </w:rPr>
      </w:pPr>
      <w:r>
        <w:rPr>
          <w:rFonts w:ascii="Times New Roman" w:eastAsia="Times New Roman" w:hAnsi="Times New Roman" w:cs="Times New Roman"/>
          <w:b/>
          <w:color w:val="000000"/>
          <w:sz w:val="24"/>
          <w:szCs w:val="24"/>
          <w:lang w:val="en-US"/>
        </w:rPr>
        <w:t>Results and Discussion</w:t>
      </w:r>
    </w:p>
    <w:p w14:paraId="4F7C9394" w14:textId="77777777" w:rsidR="00DD2D90" w:rsidRPr="00DD2D90" w:rsidRDefault="00DD2D90" w:rsidP="00DD2D90">
      <w:pPr>
        <w:spacing w:after="0" w:line="360" w:lineRule="auto"/>
        <w:jc w:val="both"/>
        <w:rPr>
          <w:rFonts w:ascii="Times New Roman" w:eastAsia="Times New Roman" w:hAnsi="Times New Roman" w:cs="Times New Roman"/>
          <w:sz w:val="24"/>
          <w:szCs w:val="24"/>
          <w:lang w:val="en-US"/>
        </w:rPr>
      </w:pPr>
      <w:r w:rsidRPr="00DD2D90">
        <w:rPr>
          <w:rFonts w:ascii="Times New Roman" w:eastAsia="Times New Roman" w:hAnsi="Times New Roman" w:cs="Times New Roman"/>
          <w:b/>
          <w:bCs/>
          <w:i/>
          <w:iCs/>
          <w:sz w:val="24"/>
          <w:szCs w:val="24"/>
          <w:lang w:val="en-US"/>
        </w:rPr>
        <w:t>Emotional Dynamics in Early Adolescence: Beyond Emotional Fluctuation</w:t>
      </w:r>
    </w:p>
    <w:p w14:paraId="79367798" w14:textId="5993B2C4" w:rsidR="00DD2D90" w:rsidRDefault="00DD2D90" w:rsidP="00DD2D90">
      <w:pPr>
        <w:spacing w:after="0" w:line="360" w:lineRule="auto"/>
        <w:ind w:firstLine="567"/>
        <w:jc w:val="both"/>
        <w:rPr>
          <w:rFonts w:ascii="Times New Roman" w:eastAsia="Times New Roman" w:hAnsi="Times New Roman" w:cs="Times New Roman"/>
          <w:sz w:val="24"/>
          <w:szCs w:val="24"/>
          <w:lang w:val="en-US"/>
        </w:rPr>
      </w:pPr>
      <w:r w:rsidRPr="00DD2D90">
        <w:rPr>
          <w:rFonts w:ascii="Times New Roman" w:eastAsia="Times New Roman" w:hAnsi="Times New Roman" w:cs="Times New Roman"/>
          <w:sz w:val="24"/>
          <w:szCs w:val="24"/>
          <w:lang w:val="en-US"/>
        </w:rPr>
        <w:t>The findings indicate that emotional development among junior secondary students is experienced as a highly dynamic and unstable process during early adolescence. Students described rapid emotional shifts, ranging from anger and frustration to sadness and anxiety, that emerged suddenly and were difficult to anticipate or control. These emotional fluctuations were not perceived as isolated incidents but as recurring experiences embedded in everyday school life.</w:t>
      </w:r>
    </w:p>
    <w:p w14:paraId="123DE6F1" w14:textId="77777777" w:rsidR="00DD2D90" w:rsidRPr="00DD2D90" w:rsidRDefault="00DD2D90" w:rsidP="00DD2D90">
      <w:pPr>
        <w:spacing w:after="0" w:line="360" w:lineRule="auto"/>
        <w:ind w:firstLine="567"/>
        <w:jc w:val="both"/>
        <w:rPr>
          <w:rFonts w:ascii="Times New Roman" w:eastAsia="Times New Roman" w:hAnsi="Times New Roman" w:cs="Times New Roman"/>
          <w:sz w:val="24"/>
          <w:szCs w:val="24"/>
          <w:lang w:val="en-US"/>
        </w:rPr>
      </w:pPr>
    </w:p>
    <w:p w14:paraId="3996F276" w14:textId="77777777" w:rsidR="00DD2D90" w:rsidRPr="00DD2D90" w:rsidRDefault="00DD2D90" w:rsidP="00DD2D90">
      <w:pPr>
        <w:spacing w:after="0" w:line="360" w:lineRule="auto"/>
        <w:ind w:firstLine="567"/>
        <w:jc w:val="both"/>
        <w:rPr>
          <w:rFonts w:ascii="Times New Roman" w:eastAsia="Times New Roman" w:hAnsi="Times New Roman" w:cs="Times New Roman"/>
          <w:sz w:val="24"/>
          <w:szCs w:val="24"/>
          <w:lang w:val="en-US"/>
        </w:rPr>
      </w:pPr>
      <w:r w:rsidRPr="00DD2D90">
        <w:rPr>
          <w:rFonts w:ascii="Times New Roman" w:eastAsia="Times New Roman" w:hAnsi="Times New Roman" w:cs="Times New Roman"/>
          <w:sz w:val="24"/>
          <w:szCs w:val="24"/>
          <w:lang w:val="en-US"/>
        </w:rPr>
        <w:lastRenderedPageBreak/>
        <w:t>One student explained this emotional unpredictability as follows:</w:t>
      </w:r>
    </w:p>
    <w:p w14:paraId="6EE0769A" w14:textId="77777777" w:rsidR="00DD2D90" w:rsidRPr="00DD2D90" w:rsidRDefault="00DD2D90" w:rsidP="00DD2D90">
      <w:pPr>
        <w:spacing w:after="0" w:line="360" w:lineRule="auto"/>
        <w:ind w:firstLine="567"/>
        <w:jc w:val="both"/>
        <w:rPr>
          <w:rFonts w:ascii="Times New Roman" w:eastAsia="Times New Roman" w:hAnsi="Times New Roman" w:cs="Times New Roman"/>
          <w:sz w:val="24"/>
          <w:szCs w:val="24"/>
          <w:lang w:val="en-US"/>
        </w:rPr>
      </w:pPr>
      <w:r w:rsidRPr="00DD2D90">
        <w:rPr>
          <w:rFonts w:ascii="Times New Roman" w:eastAsia="Times New Roman" w:hAnsi="Times New Roman" w:cs="Times New Roman"/>
          <w:sz w:val="24"/>
          <w:szCs w:val="24"/>
          <w:lang w:val="en-US"/>
        </w:rPr>
        <w:t>“Sometimes I suddenly get angry at my friends because of tiny things. I know it’s not important, but at that moment I feel like I really can’t hold my emotions.”</w:t>
      </w:r>
    </w:p>
    <w:p w14:paraId="3432D4B4" w14:textId="77777777" w:rsidR="00DD2D90" w:rsidRPr="00DD2D90" w:rsidRDefault="00DD2D90" w:rsidP="00DD2D90">
      <w:pPr>
        <w:spacing w:after="0" w:line="360" w:lineRule="auto"/>
        <w:ind w:firstLine="567"/>
        <w:jc w:val="both"/>
        <w:rPr>
          <w:rFonts w:ascii="Times New Roman" w:eastAsia="Times New Roman" w:hAnsi="Times New Roman" w:cs="Times New Roman"/>
          <w:sz w:val="24"/>
          <w:szCs w:val="24"/>
          <w:lang w:val="en-US"/>
        </w:rPr>
      </w:pPr>
      <w:r w:rsidRPr="00DD2D90">
        <w:rPr>
          <w:rFonts w:ascii="Times New Roman" w:eastAsia="Times New Roman" w:hAnsi="Times New Roman" w:cs="Times New Roman"/>
          <w:i/>
          <w:iCs/>
          <w:sz w:val="24"/>
          <w:szCs w:val="24"/>
          <w:lang w:val="en-US"/>
        </w:rPr>
        <w:t>(Student, 13 years old)</w:t>
      </w:r>
    </w:p>
    <w:p w14:paraId="1D16C074" w14:textId="77777777" w:rsidR="00DD2D90" w:rsidRPr="00DD2D90" w:rsidRDefault="00DD2D90" w:rsidP="00DD2D90">
      <w:pPr>
        <w:spacing w:after="0" w:line="360" w:lineRule="auto"/>
        <w:ind w:firstLine="567"/>
        <w:jc w:val="both"/>
        <w:rPr>
          <w:rFonts w:ascii="Times New Roman" w:eastAsia="Times New Roman" w:hAnsi="Times New Roman" w:cs="Times New Roman"/>
          <w:sz w:val="24"/>
          <w:szCs w:val="24"/>
          <w:lang w:val="en-US"/>
        </w:rPr>
      </w:pPr>
      <w:r w:rsidRPr="00DD2D90">
        <w:rPr>
          <w:rFonts w:ascii="Times New Roman" w:eastAsia="Times New Roman" w:hAnsi="Times New Roman" w:cs="Times New Roman"/>
          <w:sz w:val="24"/>
          <w:szCs w:val="24"/>
          <w:lang w:val="en-US"/>
        </w:rPr>
        <w:t>Another student added:</w:t>
      </w:r>
    </w:p>
    <w:p w14:paraId="0CE1EB6D" w14:textId="77777777" w:rsidR="00DD2D90" w:rsidRPr="00DD2D90" w:rsidRDefault="00DD2D90" w:rsidP="00DD2D90">
      <w:pPr>
        <w:spacing w:after="0" w:line="360" w:lineRule="auto"/>
        <w:ind w:firstLine="567"/>
        <w:jc w:val="both"/>
        <w:rPr>
          <w:rFonts w:ascii="Times New Roman" w:eastAsia="Times New Roman" w:hAnsi="Times New Roman" w:cs="Times New Roman"/>
          <w:sz w:val="24"/>
          <w:szCs w:val="24"/>
          <w:lang w:val="en-US"/>
        </w:rPr>
      </w:pPr>
      <w:r w:rsidRPr="00DD2D90">
        <w:rPr>
          <w:rFonts w:ascii="Times New Roman" w:eastAsia="Times New Roman" w:hAnsi="Times New Roman" w:cs="Times New Roman"/>
          <w:sz w:val="24"/>
          <w:szCs w:val="24"/>
          <w:lang w:val="en-US"/>
        </w:rPr>
        <w:t>“After it happens, I regret it. I think, ‘Why did I react like that?’ But when it happens, my emotions just come out.”</w:t>
      </w:r>
    </w:p>
    <w:p w14:paraId="52115A70" w14:textId="77777777" w:rsidR="00DD2D90" w:rsidRPr="00DD2D90" w:rsidRDefault="00DD2D90" w:rsidP="00DD2D90">
      <w:pPr>
        <w:spacing w:after="0" w:line="360" w:lineRule="auto"/>
        <w:ind w:firstLine="567"/>
        <w:jc w:val="both"/>
        <w:rPr>
          <w:rFonts w:ascii="Times New Roman" w:eastAsia="Times New Roman" w:hAnsi="Times New Roman" w:cs="Times New Roman"/>
          <w:sz w:val="24"/>
          <w:szCs w:val="24"/>
          <w:lang w:val="en-US"/>
        </w:rPr>
      </w:pPr>
      <w:r w:rsidRPr="00DD2D90">
        <w:rPr>
          <w:rFonts w:ascii="Times New Roman" w:eastAsia="Times New Roman" w:hAnsi="Times New Roman" w:cs="Times New Roman"/>
          <w:i/>
          <w:iCs/>
          <w:sz w:val="24"/>
          <w:szCs w:val="24"/>
          <w:lang w:val="en-US"/>
        </w:rPr>
        <w:t>(Student, 14 years old)</w:t>
      </w:r>
    </w:p>
    <w:p w14:paraId="7EC74A1C" w14:textId="77777777" w:rsidR="00DD2D90" w:rsidRPr="00DD2D90" w:rsidRDefault="00DD2D90" w:rsidP="00DD2D90">
      <w:pPr>
        <w:spacing w:after="0" w:line="360" w:lineRule="auto"/>
        <w:ind w:firstLine="567"/>
        <w:jc w:val="both"/>
        <w:rPr>
          <w:rFonts w:ascii="Times New Roman" w:eastAsia="Times New Roman" w:hAnsi="Times New Roman" w:cs="Times New Roman"/>
          <w:sz w:val="24"/>
          <w:szCs w:val="24"/>
          <w:lang w:val="en-US"/>
        </w:rPr>
      </w:pPr>
      <w:r w:rsidRPr="00DD2D90">
        <w:rPr>
          <w:rFonts w:ascii="Times New Roman" w:eastAsia="Times New Roman" w:hAnsi="Times New Roman" w:cs="Times New Roman"/>
          <w:sz w:val="24"/>
          <w:szCs w:val="24"/>
          <w:lang w:val="en-US"/>
        </w:rPr>
        <w:t xml:space="preserve">These accounts reveal a clear discrepancy between students’ reflective awareness and their immediate emotional responses. Although students showed an emerging ability to evaluate their emotional reactions retrospectively, they reported limited capacity to regulate emotional arousal in real time. This pattern aligns with developmental scholars’ description of a temporal gap between heightened socio-emotional reactivity and still-developing regulatory control during early adolescence </w:t>
      </w:r>
      <w:r w:rsidRPr="00DD2D90">
        <w:rPr>
          <w:rFonts w:ascii="Times New Roman" w:eastAsia="Times New Roman" w:hAnsi="Times New Roman" w:cs="Times New Roman"/>
          <w:sz w:val="24"/>
          <w:szCs w:val="24"/>
          <w:lang w:val="en-US"/>
        </w:rPr>
        <w:fldChar w:fldCharType="begin"/>
      </w:r>
      <w:r w:rsidRPr="00DD2D90">
        <w:rPr>
          <w:rFonts w:ascii="Times New Roman" w:eastAsia="Times New Roman" w:hAnsi="Times New Roman" w:cs="Times New Roman"/>
          <w:sz w:val="24"/>
          <w:szCs w:val="24"/>
          <w:lang w:val="en-US"/>
        </w:rPr>
        <w:instrText xml:space="preserve"> ADDIN ZOTERO_ITEM CSL_CITATION {"citationID":"hbKhCsqn","properties":{"unsorted":true,"formattedCitation":"(Somerville et al., 2010; McLaughlin et al., 2019)","plainCitation":"(Somerville et al., 2010; McLaughlin et al., 2019)","noteIndex":0},"citationItems":[{"id":158,"uris":["http://zotero.org/users/local/YszQGxaT/items/5XT2CNJ7"],"itemData":{"id":158,"type":"article-journal","abstract":"Adolescence is a developmental period that entails substantial changes in affective and incentive-seeking behavior relative to both childhood and adulthood, including a heightened propensity to engage in risky behaviors and experience persistent negative and labile mood states. This review discusses the emotional and incentive-driven behavioral changes in adolescents and their associated neural mechanisms, focusing on the dynamic interactions between the amygdala, ventral striatum, and prefrontal cortex. Common behavioral changes during adolescence may be associated with a heightened responsiveness to incentives and emotional cues while the capacity to effectively engage in cognitive and emotion regulation is still relatively immature. We highlight empirical work in humans and animals that addresses the interactions between these neural systems in adolescents relative to children and adults, and propose a neurobiological model that may account for the nonlinear changes in adolescent behavior. Finally, we discuss other influences that may contribute to exaggerated reward and emotion processing associated with adolescence, including hormonal fluctuations and the role of the social environment.","container-title":"Brain and Cognition","DOI":"10.1016/j.bandc.2009.07.003","ISSN":"1090-2147","issue":"1","journalAbbreviation":"Brain Cogn","language":"eng","note":"PMID: 19695759\nPMCID: PMC2814936","page":"124-133","source":"PubMed","title":"A time of change: behavioral and neural correlates of adolescent sensitivity to appetitive and aversive environmental cues","title-short":"A time of change","volume":"72","author":[{"family":"Somerville","given":"Leah H."},{"family":"Jones","given":"Rebecca M."},{"family":"Casey","given":"B. J."}],"issued":{"date-parts":[["2010",2]]}}},{"id":140,"uris":["http://zotero.org/users/local/YszQGxaT/items/TR76KM6F"],"itemData":{"id":140,"type":"article-journal","abstract":"Adolescence is a phase of the lifespan associated with widespread changes in emotional behavior thought to reflect both changing environments and stressors, and psychological and neurobiological development. However, emotions themselves are complex phenomena that are composed of multiple subprocesses. In this paper, we argue that examining emotional development from a process-level perspective facilitates important insights into the mechanisms that underlie adolescents' shifting emotions and intensified risk for psychopathology. Contrasting the developmental progressions for the antecedents to emotion, physiological reactivity to emotion, emotional regulation capacity, and motivation to experience particular affective states reveals complex trajectories that intersect in a unique way during adolescence. We consider the implications of these intersecting trajectories for negative outcomes such as psychopathology, as well as positive outcomes for adolescent social bonds.","container-title":"Dialogues in Clinical Neuroscience","DOI":"10.31887/DCNS.2015.17.4/kmclaughlin","ISSN":"1294-8322","issue":"4","journalAbbreviation":"Dialogues Clin Neurosci","note":"PMID: 26869841\nPMCID: PMC4734878","page":"403-410","source":"PubMed Central","title":"What develops during emotional development? A component process approach to identifying sources of psychopathology risk in adolescence","title-short":"What develops during emotional development?","volume":"17","author":[{"family":"McLaughlin","given":"Katie A."},{"family":"Garrad","given":"Megan C."},{"family":"Somerville","given":"Leah H."}],"issued":{"date-parts":[["2019"]]}}}],"schema":"https://github.com/citation-style-language/schema/raw/master/csl-citation.json"} </w:instrText>
      </w:r>
      <w:r w:rsidRPr="00DD2D90">
        <w:rPr>
          <w:rFonts w:ascii="Times New Roman" w:eastAsia="Times New Roman" w:hAnsi="Times New Roman" w:cs="Times New Roman"/>
          <w:sz w:val="24"/>
          <w:szCs w:val="24"/>
          <w:lang w:val="en-US"/>
        </w:rPr>
        <w:fldChar w:fldCharType="separate"/>
      </w:r>
      <w:r w:rsidRPr="00DD2D90">
        <w:rPr>
          <w:rFonts w:ascii="Times New Roman" w:eastAsia="Times New Roman" w:hAnsi="Times New Roman" w:cs="Times New Roman"/>
          <w:sz w:val="24"/>
          <w:szCs w:val="24"/>
          <w:lang w:val="en-US"/>
        </w:rPr>
        <w:t>(Somerville et al., 2010; McLaughlin et al., 2019)</w:t>
      </w:r>
      <w:r w:rsidRPr="00DD2D90">
        <w:rPr>
          <w:rFonts w:ascii="Times New Roman" w:eastAsia="Times New Roman" w:hAnsi="Times New Roman" w:cs="Times New Roman"/>
          <w:sz w:val="24"/>
          <w:szCs w:val="24"/>
        </w:rPr>
        <w:fldChar w:fldCharType="end"/>
      </w:r>
      <w:r w:rsidRPr="00DD2D90">
        <w:rPr>
          <w:rFonts w:ascii="Times New Roman" w:eastAsia="Times New Roman" w:hAnsi="Times New Roman" w:cs="Times New Roman"/>
          <w:sz w:val="24"/>
          <w:szCs w:val="24"/>
          <w:lang w:val="en-US"/>
        </w:rPr>
        <w:t>.</w:t>
      </w:r>
    </w:p>
    <w:p w14:paraId="3E7302B1" w14:textId="77777777" w:rsidR="00DD2D90" w:rsidRPr="00DD2D90" w:rsidRDefault="00DD2D90" w:rsidP="00DD2D90">
      <w:pPr>
        <w:spacing w:after="0" w:line="360" w:lineRule="auto"/>
        <w:ind w:firstLine="567"/>
        <w:jc w:val="both"/>
        <w:rPr>
          <w:rFonts w:ascii="Times New Roman" w:eastAsia="Times New Roman" w:hAnsi="Times New Roman" w:cs="Times New Roman"/>
          <w:sz w:val="24"/>
          <w:szCs w:val="24"/>
          <w:lang w:val="en-US"/>
        </w:rPr>
      </w:pPr>
      <w:r w:rsidRPr="00DD2D90">
        <w:rPr>
          <w:rFonts w:ascii="Times New Roman" w:eastAsia="Times New Roman" w:hAnsi="Times New Roman" w:cs="Times New Roman"/>
          <w:sz w:val="24"/>
          <w:szCs w:val="24"/>
          <w:lang w:val="en-US"/>
        </w:rPr>
        <w:t>Beyond observable emotional fluctuations, the findings further reveal a persistent sense of emotional vulnerability and unpredictability. Students frequently described their emotions as overwhelming and difficult to anticipate, particularly in socially evaluative situations. Observational data indicate that emotional outbursts often occurred in response to peer teasing, classroom competition, or perceived unfair treatment by teachers. This supports the interpretation that emotional instability during early adolescence is deeply relational rather than purely intrapsychic.</w:t>
      </w:r>
    </w:p>
    <w:p w14:paraId="5D3B1724" w14:textId="77777777" w:rsidR="00DD2D90" w:rsidRPr="00DD2D90" w:rsidRDefault="00DD2D90" w:rsidP="00DD2D90">
      <w:pPr>
        <w:spacing w:after="0" w:line="360" w:lineRule="auto"/>
        <w:ind w:firstLine="567"/>
        <w:jc w:val="both"/>
        <w:rPr>
          <w:rFonts w:ascii="Times New Roman" w:eastAsia="Times New Roman" w:hAnsi="Times New Roman" w:cs="Times New Roman"/>
          <w:sz w:val="24"/>
          <w:szCs w:val="24"/>
          <w:lang w:val="en-US"/>
        </w:rPr>
      </w:pPr>
      <w:r w:rsidRPr="00DD2D90">
        <w:rPr>
          <w:rFonts w:ascii="Times New Roman" w:eastAsia="Times New Roman" w:hAnsi="Times New Roman" w:cs="Times New Roman"/>
          <w:sz w:val="24"/>
          <w:szCs w:val="24"/>
          <w:lang w:val="en-US"/>
        </w:rPr>
        <w:t xml:space="preserve">From a qualitative analytic perspective, these emotional reactions can be understood as adolescents’ attempts to reconcile heightened emotional sensitivity with still-developing self-regulatory capacities. Although students showed emerging reflective awareness, they lacked practical strategies to modulate emotional arousal in the moment. International research also indicates that adolescents’ emotional experiences are susceptible to social evaluation and interpersonal feedback, especially in peer-dense environments such as schools </w:t>
      </w:r>
      <w:r w:rsidRPr="00DD2D90">
        <w:rPr>
          <w:rFonts w:ascii="Times New Roman" w:eastAsia="Times New Roman" w:hAnsi="Times New Roman" w:cs="Times New Roman"/>
          <w:sz w:val="24"/>
          <w:szCs w:val="24"/>
          <w:lang w:val="en-US"/>
        </w:rPr>
        <w:fldChar w:fldCharType="begin"/>
      </w:r>
      <w:r w:rsidRPr="00DD2D90">
        <w:rPr>
          <w:rFonts w:ascii="Times New Roman" w:eastAsia="Times New Roman" w:hAnsi="Times New Roman" w:cs="Times New Roman"/>
          <w:sz w:val="24"/>
          <w:szCs w:val="24"/>
          <w:lang w:val="en-US"/>
        </w:rPr>
        <w:instrText xml:space="preserve"> ADDIN ZOTERO_ITEM CSL_CITATION {"citationID":"YzMIlHi3","properties":{"formattedCitation":"(Wentzel, 2017)","plainCitation":"(Wentzel, 2017)","noteIndex":0},"citationItems":[{"id":169,"uris":["http://zotero.org/users/local/YszQGxaT/items/UMXCQHN3"],"itemData":{"id":169,"type":"chapter","abstract":"Relationships with peers are of central importance to children throughout childhood and adolescence. They provide a source of companionship and entertainment, help in solving problems, personal validation and emotional support, and a foundation for identity development, In turn, children who enjoy positive relationships with peers appear to experience levels of emotional well-being, beliefs about the self, and values for prosocial forms of behavior and social interaction that are stronger and more adaptive than do children without positive peer relationships. An additional finding is that children who enjoy positive relationships with their peers also tend to be engaged in and even excel at academic tasks more than those who have peer relationship problems. Children's social competence with peers has been related consistently and positively to academic accomplishments throughout the school-age years. In light of evidence that links children's adaptive functioning across social and academic domains, a central issue that is addressed in this chapter is, why do these associations exist? More specifically, what are the mechanisms by which these two domains of functioning might be related? Toward this end, I first provide general criteria for defining social competence and their implications for understanding peer relationships at school, as well as academic motivation and accomplishments. Next, I review the literature on peer relationships and academic outcomes, followed by a discussion of processes and mechanisms that might explain significant relations between peer relationships and positive outcomes in the academic domain. Finally, I offer thoughts about and provocations for future research. (PsycInfo Database Record (c) 2025 APA, all rights reserved)","container-title":"Handbook of competence and motivation: Theory and application, 2nd ed","event-place":"New York, NY, US","ISBN":"978-1-4625-2960-5","page":"586-603","publisher":"The Guilford Press","publisher-place":"New York, NY, US","source":"APA PsycNet","title":"Peer relationships, motivation, and academic performance at school","author":[{"family":"Wentzel","given":"Kathryn R."}],"issued":{"date-parts":[["2017"]]}}}],"schema":"https://github.com/citation-style-language/schema/raw/master/csl-citation.json"} </w:instrText>
      </w:r>
      <w:r w:rsidRPr="00DD2D90">
        <w:rPr>
          <w:rFonts w:ascii="Times New Roman" w:eastAsia="Times New Roman" w:hAnsi="Times New Roman" w:cs="Times New Roman"/>
          <w:sz w:val="24"/>
          <w:szCs w:val="24"/>
          <w:lang w:val="en-US"/>
        </w:rPr>
        <w:fldChar w:fldCharType="separate"/>
      </w:r>
      <w:r w:rsidRPr="00DD2D90">
        <w:rPr>
          <w:rFonts w:ascii="Times New Roman" w:eastAsia="Times New Roman" w:hAnsi="Times New Roman" w:cs="Times New Roman"/>
          <w:sz w:val="24"/>
          <w:szCs w:val="24"/>
          <w:lang w:val="en-US"/>
        </w:rPr>
        <w:t>(Wentzel, 2017)</w:t>
      </w:r>
      <w:r w:rsidRPr="00DD2D90">
        <w:rPr>
          <w:rFonts w:ascii="Times New Roman" w:eastAsia="Times New Roman" w:hAnsi="Times New Roman" w:cs="Times New Roman"/>
          <w:sz w:val="24"/>
          <w:szCs w:val="24"/>
        </w:rPr>
        <w:fldChar w:fldCharType="end"/>
      </w:r>
      <w:r w:rsidRPr="00DD2D90">
        <w:rPr>
          <w:rFonts w:ascii="Times New Roman" w:eastAsia="Times New Roman" w:hAnsi="Times New Roman" w:cs="Times New Roman"/>
          <w:sz w:val="24"/>
          <w:szCs w:val="24"/>
          <w:lang w:val="en-US"/>
        </w:rPr>
        <w:t>.</w:t>
      </w:r>
    </w:p>
    <w:p w14:paraId="3EF3ADEC" w14:textId="77777777" w:rsidR="00DD2D90" w:rsidRPr="00DD2D90" w:rsidRDefault="00DD2D90" w:rsidP="00DD2D90">
      <w:pPr>
        <w:spacing w:after="0" w:line="360" w:lineRule="auto"/>
        <w:ind w:firstLine="567"/>
        <w:jc w:val="both"/>
        <w:rPr>
          <w:rFonts w:ascii="Times New Roman" w:eastAsia="Times New Roman" w:hAnsi="Times New Roman" w:cs="Times New Roman"/>
          <w:sz w:val="24"/>
          <w:szCs w:val="24"/>
          <w:lang w:val="en-US"/>
        </w:rPr>
      </w:pPr>
      <w:r w:rsidRPr="00DD2D90">
        <w:rPr>
          <w:rFonts w:ascii="Times New Roman" w:eastAsia="Times New Roman" w:hAnsi="Times New Roman" w:cs="Times New Roman"/>
          <w:sz w:val="24"/>
          <w:szCs w:val="24"/>
          <w:lang w:val="en-US"/>
        </w:rPr>
        <w:t>Importantly, emotional volatility had tangible consequences for students’ engagement in learning and social interaction. Teachers observed that emotionally dysregulated students struggled to concentrate in class and were more prone to interpersonal conflict.</w:t>
      </w:r>
    </w:p>
    <w:p w14:paraId="25641B84" w14:textId="77777777" w:rsidR="00DD2D90" w:rsidRPr="00DD2D90" w:rsidRDefault="00DD2D90" w:rsidP="00DD2D90">
      <w:pPr>
        <w:spacing w:after="0" w:line="360" w:lineRule="auto"/>
        <w:ind w:firstLine="567"/>
        <w:jc w:val="both"/>
        <w:rPr>
          <w:rFonts w:ascii="Times New Roman" w:eastAsia="Times New Roman" w:hAnsi="Times New Roman" w:cs="Times New Roman"/>
          <w:sz w:val="24"/>
          <w:szCs w:val="24"/>
          <w:lang w:val="en-US"/>
        </w:rPr>
      </w:pPr>
      <w:r w:rsidRPr="00DD2D90">
        <w:rPr>
          <w:rFonts w:ascii="Times New Roman" w:eastAsia="Times New Roman" w:hAnsi="Times New Roman" w:cs="Times New Roman"/>
          <w:sz w:val="24"/>
          <w:szCs w:val="24"/>
          <w:lang w:val="en-US"/>
        </w:rPr>
        <w:t>“When their emotions go up, it’s hard for them to focus. Even small teasing can turn into a big argument.”</w:t>
      </w:r>
    </w:p>
    <w:p w14:paraId="0C805632" w14:textId="77777777" w:rsidR="00DD2D90" w:rsidRPr="00DD2D90" w:rsidRDefault="00DD2D90" w:rsidP="00DD2D90">
      <w:pPr>
        <w:spacing w:after="0" w:line="360" w:lineRule="auto"/>
        <w:ind w:firstLine="567"/>
        <w:jc w:val="both"/>
        <w:rPr>
          <w:rFonts w:ascii="Times New Roman" w:eastAsia="Times New Roman" w:hAnsi="Times New Roman" w:cs="Times New Roman"/>
          <w:sz w:val="24"/>
          <w:szCs w:val="24"/>
          <w:lang w:val="en-US"/>
        </w:rPr>
      </w:pPr>
      <w:r w:rsidRPr="00DD2D90">
        <w:rPr>
          <w:rFonts w:ascii="Times New Roman" w:eastAsia="Times New Roman" w:hAnsi="Times New Roman" w:cs="Times New Roman"/>
          <w:i/>
          <w:iCs/>
          <w:sz w:val="24"/>
          <w:szCs w:val="24"/>
          <w:lang w:val="en-US"/>
        </w:rPr>
        <w:lastRenderedPageBreak/>
        <w:t>(Homeroom Teacher)</w:t>
      </w:r>
    </w:p>
    <w:p w14:paraId="2CC32414" w14:textId="6BD167F1" w:rsidR="00DD2D90" w:rsidRPr="00DD2D90" w:rsidRDefault="00DD2D90" w:rsidP="00DD2D90">
      <w:pPr>
        <w:spacing w:after="0" w:line="360" w:lineRule="auto"/>
        <w:ind w:firstLine="567"/>
        <w:jc w:val="both"/>
        <w:rPr>
          <w:rFonts w:ascii="Times New Roman" w:eastAsia="Times New Roman" w:hAnsi="Times New Roman" w:cs="Times New Roman"/>
          <w:sz w:val="24"/>
          <w:szCs w:val="24"/>
          <w:lang w:val="en-US"/>
        </w:rPr>
      </w:pPr>
      <w:r w:rsidRPr="00DD2D90">
        <w:rPr>
          <w:rFonts w:ascii="Times New Roman" w:eastAsia="Times New Roman" w:hAnsi="Times New Roman" w:cs="Times New Roman"/>
          <w:sz w:val="24"/>
          <w:szCs w:val="24"/>
          <w:lang w:val="en-US"/>
        </w:rPr>
        <w:t>These findings reinforce global arguments that emotional development is a foundational dimension of students’ educational experiences rather than a peripheral concern. Emotional challenges operate as personal, relational, and pedagogical issues that shape classroom climate, peer relationships, and learning engagement.</w:t>
      </w:r>
    </w:p>
    <w:p w14:paraId="554BCF95" w14:textId="77777777" w:rsidR="00DD2D90" w:rsidRPr="00DD2D90" w:rsidRDefault="00DD2D90" w:rsidP="00DD2D90">
      <w:pPr>
        <w:spacing w:after="0" w:line="360" w:lineRule="auto"/>
        <w:jc w:val="both"/>
        <w:rPr>
          <w:rFonts w:ascii="Times New Roman" w:eastAsia="Times New Roman" w:hAnsi="Times New Roman" w:cs="Times New Roman"/>
          <w:b/>
          <w:bCs/>
          <w:i/>
          <w:iCs/>
          <w:sz w:val="24"/>
          <w:szCs w:val="24"/>
          <w:lang w:val="en-US"/>
        </w:rPr>
      </w:pPr>
      <w:r w:rsidRPr="00DD2D90">
        <w:rPr>
          <w:rFonts w:ascii="Times New Roman" w:eastAsia="Times New Roman" w:hAnsi="Times New Roman" w:cs="Times New Roman"/>
          <w:b/>
          <w:bCs/>
          <w:i/>
          <w:iCs/>
          <w:sz w:val="24"/>
          <w:szCs w:val="24"/>
          <w:lang w:val="en-US"/>
        </w:rPr>
        <w:t xml:space="preserve">Internal Factors Revisited: Identity Work and Emotion Regulation as Intertwined Processes </w:t>
      </w:r>
    </w:p>
    <w:p w14:paraId="5867696F" w14:textId="77777777" w:rsidR="00DD2D90" w:rsidRPr="00DD2D90" w:rsidRDefault="00DD2D90" w:rsidP="00DD2D90">
      <w:pPr>
        <w:spacing w:after="0" w:line="360" w:lineRule="auto"/>
        <w:ind w:firstLine="567"/>
        <w:jc w:val="both"/>
        <w:rPr>
          <w:rFonts w:ascii="Times New Roman" w:eastAsia="Times New Roman" w:hAnsi="Times New Roman" w:cs="Times New Roman"/>
          <w:sz w:val="24"/>
          <w:szCs w:val="24"/>
          <w:lang w:val="en-US"/>
        </w:rPr>
      </w:pPr>
      <w:r w:rsidRPr="00DD2D90">
        <w:rPr>
          <w:rFonts w:ascii="Times New Roman" w:eastAsia="Times New Roman" w:hAnsi="Times New Roman" w:cs="Times New Roman"/>
          <w:sz w:val="24"/>
          <w:szCs w:val="24"/>
          <w:lang w:val="en-US"/>
        </w:rPr>
        <w:t>Further analysis indicates that students’ emotional challenges were strongly shaped by internal developmental processes, particularly identity confusion and limited capacity for emotion regulation. Rather than emerging as separate phenomena, identity-related struggles and emotional reactivity were deeply intertwined in students’ everyday experiences. Students’ narratives suggested that emotional outbursts, withdrawal, or oppositional behavior often reflected underlying uncertainty about self-definition and social positioning within peer groups.</w:t>
      </w:r>
    </w:p>
    <w:p w14:paraId="1244AD28" w14:textId="77777777" w:rsidR="00DD2D90" w:rsidRPr="00DD2D90" w:rsidRDefault="00DD2D90" w:rsidP="00DD2D90">
      <w:pPr>
        <w:spacing w:after="0" w:line="360" w:lineRule="auto"/>
        <w:ind w:firstLine="567"/>
        <w:jc w:val="both"/>
        <w:rPr>
          <w:rFonts w:ascii="Times New Roman" w:eastAsia="Times New Roman" w:hAnsi="Times New Roman" w:cs="Times New Roman"/>
          <w:sz w:val="24"/>
          <w:szCs w:val="24"/>
          <w:lang w:val="en-US"/>
        </w:rPr>
      </w:pPr>
      <w:r w:rsidRPr="00DD2D90">
        <w:rPr>
          <w:rFonts w:ascii="Times New Roman" w:eastAsia="Times New Roman" w:hAnsi="Times New Roman" w:cs="Times New Roman"/>
          <w:sz w:val="24"/>
          <w:szCs w:val="24"/>
          <w:lang w:val="en-US"/>
        </w:rPr>
        <w:t>A guidance and counselling teacher described this condition as follows:</w:t>
      </w:r>
    </w:p>
    <w:p w14:paraId="6FB3853C" w14:textId="77777777" w:rsidR="00DD2D90" w:rsidRPr="00DD2D90" w:rsidRDefault="00DD2D90" w:rsidP="00DD2D90">
      <w:pPr>
        <w:spacing w:after="0" w:line="360" w:lineRule="auto"/>
        <w:ind w:firstLine="567"/>
        <w:jc w:val="both"/>
        <w:rPr>
          <w:rFonts w:ascii="Times New Roman" w:eastAsia="Times New Roman" w:hAnsi="Times New Roman" w:cs="Times New Roman"/>
          <w:sz w:val="24"/>
          <w:szCs w:val="24"/>
          <w:lang w:val="en-US"/>
        </w:rPr>
      </w:pPr>
      <w:r w:rsidRPr="00DD2D90">
        <w:rPr>
          <w:rFonts w:ascii="Times New Roman" w:eastAsia="Times New Roman" w:hAnsi="Times New Roman" w:cs="Times New Roman"/>
          <w:sz w:val="24"/>
          <w:szCs w:val="24"/>
          <w:lang w:val="en-US"/>
        </w:rPr>
        <w:t>“Many students are starting to question who they are. They want to be recognized by their friends, but they don’t know how to express themselves in positive ways. That confusion often turns into emotional reactions, either conflict or withdrawal.”</w:t>
      </w:r>
    </w:p>
    <w:p w14:paraId="550B475B" w14:textId="77777777" w:rsidR="00DD2D90" w:rsidRPr="00DD2D90" w:rsidRDefault="00DD2D90" w:rsidP="00DD2D90">
      <w:pPr>
        <w:spacing w:after="0" w:line="360" w:lineRule="auto"/>
        <w:ind w:firstLine="567"/>
        <w:jc w:val="both"/>
        <w:rPr>
          <w:rFonts w:ascii="Times New Roman" w:eastAsia="Times New Roman" w:hAnsi="Times New Roman" w:cs="Times New Roman"/>
          <w:sz w:val="24"/>
          <w:szCs w:val="24"/>
          <w:lang w:val="en-US"/>
        </w:rPr>
      </w:pPr>
      <w:r w:rsidRPr="00DD2D90">
        <w:rPr>
          <w:rFonts w:ascii="Times New Roman" w:eastAsia="Times New Roman" w:hAnsi="Times New Roman" w:cs="Times New Roman"/>
          <w:i/>
          <w:iCs/>
          <w:sz w:val="24"/>
          <w:szCs w:val="24"/>
          <w:lang w:val="en-US"/>
        </w:rPr>
        <w:t>(Guidance and Counselling Teacher)</w:t>
      </w:r>
    </w:p>
    <w:p w14:paraId="2CBD51F1" w14:textId="77777777" w:rsidR="00DD2D90" w:rsidRPr="00DD2D90" w:rsidRDefault="00DD2D90" w:rsidP="00DD2D90">
      <w:pPr>
        <w:spacing w:after="0" w:line="360" w:lineRule="auto"/>
        <w:ind w:firstLine="567"/>
        <w:jc w:val="both"/>
        <w:rPr>
          <w:rFonts w:ascii="Times New Roman" w:eastAsia="Times New Roman" w:hAnsi="Times New Roman" w:cs="Times New Roman"/>
          <w:sz w:val="24"/>
          <w:szCs w:val="24"/>
          <w:lang w:val="en-US"/>
        </w:rPr>
      </w:pPr>
      <w:r w:rsidRPr="00DD2D90">
        <w:rPr>
          <w:rFonts w:ascii="Times New Roman" w:eastAsia="Times New Roman" w:hAnsi="Times New Roman" w:cs="Times New Roman"/>
          <w:sz w:val="24"/>
          <w:szCs w:val="24"/>
          <w:lang w:val="en-US"/>
        </w:rPr>
        <w:t xml:space="preserve">This account illustrates that identity formation during early adolescence unfolds as an emotionally charged process rather than a purely cognitive task. In line with Erikson’s stage of </w:t>
      </w:r>
      <w:r w:rsidRPr="00DD2D90">
        <w:rPr>
          <w:rFonts w:ascii="Times New Roman" w:eastAsia="Times New Roman" w:hAnsi="Times New Roman" w:cs="Times New Roman"/>
          <w:i/>
          <w:iCs/>
          <w:sz w:val="24"/>
          <w:szCs w:val="24"/>
          <w:lang w:val="en-US"/>
        </w:rPr>
        <w:t>identity versus role confusion</w:t>
      </w:r>
      <w:r w:rsidRPr="00DD2D90">
        <w:rPr>
          <w:rFonts w:ascii="Times New Roman" w:eastAsia="Times New Roman" w:hAnsi="Times New Roman" w:cs="Times New Roman"/>
          <w:sz w:val="24"/>
          <w:szCs w:val="24"/>
          <w:lang w:val="en-US"/>
        </w:rPr>
        <w:t xml:space="preserve">, identity exploration is the central developmental challenge of adolescence, and when this process is experienced as fragmented or unsupported, emotional instability is likely to intensify </w:t>
      </w:r>
      <w:r w:rsidRPr="00DD2D90">
        <w:rPr>
          <w:rFonts w:ascii="Times New Roman" w:eastAsia="Times New Roman" w:hAnsi="Times New Roman" w:cs="Times New Roman"/>
          <w:sz w:val="24"/>
          <w:szCs w:val="24"/>
          <w:lang w:val="en-US"/>
        </w:rPr>
        <w:fldChar w:fldCharType="begin"/>
      </w:r>
      <w:r w:rsidRPr="00DD2D90">
        <w:rPr>
          <w:rFonts w:ascii="Times New Roman" w:eastAsia="Times New Roman" w:hAnsi="Times New Roman" w:cs="Times New Roman"/>
          <w:sz w:val="24"/>
          <w:szCs w:val="24"/>
          <w:lang w:val="en-US"/>
        </w:rPr>
        <w:instrText xml:space="preserve"> ADDIN ZOTERO_ITEM CSL_CITATION {"citationID":"eHnlAFFF","properties":{"formattedCitation":"(Erikson, 1968; Nurmila et al., 2025)","plainCitation":"(Erikson, 1968; Nurmila et al., 2025)","noteIndex":0},"citationItems":[{"id":177,"uris":["http://zotero.org/users/local/YszQGxaT/items/YYLRAN6S"],"itemData":{"id":177,"type":"book","abstract":"Identity: Youth and Crisis collects Erik H. Erikson's major essays on topics originating in the concept of the adolescent identity crisis. Identity, Erikson writes, is an unfathomable as it is all-pervasive. It deals with a process that is located both in the core of the individual and in the core of the communal culture. As the culture changes, new kinds of identity questions arise—Erikson comments, for example, on issues of social protest and changing gender roles that were particular to the 1960s.  Representing two decades of groundbreaking work, the essays are not so much a systematic formulation of theory as an evolving report that is both clinical and theoretical. The subjects range from \"creative confusion\" in two famous lives—the dramatist George Bernard Shaw and the philosopher William James—to the connection between individual struggles and social order. \"Race and the Wider Identity\" and the controversial \"Womanhood and the Inner Space\" are included in the collection.","ISBN":"978-0-393-31144-0","language":"en","note":"Google-Books-ID: nGqc6JxV0aQC","number-of-pages":"339","publisher":"W. W. Norton","source":"Google Books","title":"Identity Youth and Crisis","author":[{"family":"Erikson","given":"Erik H."}],"issued":{"date-parts":[["1968"]]}}},{"id":80,"uris":["http://zotero.org/users/local/YszQGxaT/items/NGFEEIGM"],"itemData":{"id":80,"type":"article-journal","abstract":"The phenomenon of negative behavior among students (santri) in Islamic boarding schools (pesantren), such as bullying, violence against teachers, and promiscuity, has become an increasing concern in Islamic education. Pesantren, traditionally regarded as institutions of moral and spiritual development, are now facing complex psychosocial challenges among their students. This study aims to analyze the psychological and social factors that underlie deviant behaviors among santri. The research employs a qualitative-descriptive method using a case study approach in several pesantren across Indonesia. Data were collected through observation, in-depth interviews with students, teachers, and caretakers, as well as document analysis. The findings reveal that negative behaviors are influenced by family background, peer group dynamics, weak supervision, and the lack of psychological-based educational approaches within pesantren. Violence against teachers often stems from imbalanced power relations, while promiscuity arises from exposure to social media and inadequate value-based control. In conclusion, a holistic educational approach grounded in psychology and Islamic values needs to be strengthened to address these issues both preventively and rehabilitatively.","container-title":"NUSRA : Jurnal Penelitian dan Ilmu Pendidikan","DOI":"10.55681/nusra.v6i3.3752","ISSN":"2723-4649","issue":"3","language":"en","license":"Copyright (c) 2025 Nurmila, Ahmad Syauky, Miftahul Jannah","page":"453-467","source":"ejournal.nusantaraglobal.ac.id","title":"Psychosocial analysis of adolescent negative behaviour in educational settings","volume":"6","author":[{"family":"Nurmila","given":"Nurmila"},{"family":"Syauky","given":"Ahmad"},{"family":"Jannah","given":"Miftahul"}],"issued":{"date-parts":[["2025",8,3]]}}}],"schema":"https://github.com/citation-style-language/schema/raw/master/csl-citation.json"} </w:instrText>
      </w:r>
      <w:r w:rsidRPr="00DD2D90">
        <w:rPr>
          <w:rFonts w:ascii="Times New Roman" w:eastAsia="Times New Roman" w:hAnsi="Times New Roman" w:cs="Times New Roman"/>
          <w:sz w:val="24"/>
          <w:szCs w:val="24"/>
          <w:lang w:val="en-US"/>
        </w:rPr>
        <w:fldChar w:fldCharType="separate"/>
      </w:r>
      <w:r w:rsidRPr="00DD2D90">
        <w:rPr>
          <w:rFonts w:ascii="Times New Roman" w:eastAsia="Times New Roman" w:hAnsi="Times New Roman" w:cs="Times New Roman"/>
          <w:sz w:val="24"/>
          <w:szCs w:val="24"/>
          <w:lang w:val="en-US"/>
        </w:rPr>
        <w:t>(Erikson, 1968; Nurmila et al., 2025)</w:t>
      </w:r>
      <w:r w:rsidRPr="00DD2D90">
        <w:rPr>
          <w:rFonts w:ascii="Times New Roman" w:eastAsia="Times New Roman" w:hAnsi="Times New Roman" w:cs="Times New Roman"/>
          <w:sz w:val="24"/>
          <w:szCs w:val="24"/>
        </w:rPr>
        <w:fldChar w:fldCharType="end"/>
      </w:r>
      <w:r w:rsidRPr="00DD2D90">
        <w:rPr>
          <w:rFonts w:ascii="Times New Roman" w:eastAsia="Times New Roman" w:hAnsi="Times New Roman" w:cs="Times New Roman"/>
          <w:sz w:val="24"/>
          <w:szCs w:val="24"/>
          <w:lang w:val="en-US"/>
        </w:rPr>
        <w:t>.</w:t>
      </w:r>
    </w:p>
    <w:p w14:paraId="75FD42E5" w14:textId="77777777" w:rsidR="00DD2D90" w:rsidRPr="00DD2D90" w:rsidRDefault="00DD2D90" w:rsidP="00DD2D90">
      <w:pPr>
        <w:spacing w:after="0" w:line="360" w:lineRule="auto"/>
        <w:ind w:firstLine="567"/>
        <w:jc w:val="both"/>
        <w:rPr>
          <w:rFonts w:ascii="Times New Roman" w:eastAsia="Times New Roman" w:hAnsi="Times New Roman" w:cs="Times New Roman"/>
          <w:sz w:val="24"/>
          <w:szCs w:val="24"/>
          <w:lang w:val="en-US"/>
        </w:rPr>
      </w:pPr>
      <w:r w:rsidRPr="00DD2D90">
        <w:rPr>
          <w:rFonts w:ascii="Times New Roman" w:eastAsia="Times New Roman" w:hAnsi="Times New Roman" w:cs="Times New Roman"/>
          <w:sz w:val="24"/>
          <w:szCs w:val="24"/>
          <w:lang w:val="en-US"/>
        </w:rPr>
        <w:t>Students’ own narratives further illuminate how identity confusion was emotionally lived. One student explained:</w:t>
      </w:r>
    </w:p>
    <w:p w14:paraId="0FFC3BD0" w14:textId="77777777" w:rsidR="00DD2D90" w:rsidRPr="00DD2D90" w:rsidRDefault="00DD2D90" w:rsidP="00DD2D90">
      <w:pPr>
        <w:spacing w:after="0" w:line="360" w:lineRule="auto"/>
        <w:ind w:firstLine="567"/>
        <w:jc w:val="both"/>
        <w:rPr>
          <w:rFonts w:ascii="Times New Roman" w:eastAsia="Times New Roman" w:hAnsi="Times New Roman" w:cs="Times New Roman"/>
          <w:sz w:val="24"/>
          <w:szCs w:val="24"/>
          <w:lang w:val="en-US"/>
        </w:rPr>
      </w:pPr>
      <w:r w:rsidRPr="00DD2D90">
        <w:rPr>
          <w:rFonts w:ascii="Times New Roman" w:eastAsia="Times New Roman" w:hAnsi="Times New Roman" w:cs="Times New Roman"/>
          <w:sz w:val="24"/>
          <w:szCs w:val="24"/>
          <w:lang w:val="en-US"/>
        </w:rPr>
        <w:t>“I don’t want my friends to think I’m weak. So I try to act tough, but inside I feel confused and easily hurt.”</w:t>
      </w:r>
    </w:p>
    <w:p w14:paraId="5A8F4E56" w14:textId="77777777" w:rsidR="00DD2D90" w:rsidRPr="00DD2D90" w:rsidRDefault="00DD2D90" w:rsidP="00DD2D90">
      <w:pPr>
        <w:spacing w:after="0" w:line="360" w:lineRule="auto"/>
        <w:ind w:firstLine="567"/>
        <w:jc w:val="both"/>
        <w:rPr>
          <w:rFonts w:ascii="Times New Roman" w:eastAsia="Times New Roman" w:hAnsi="Times New Roman" w:cs="Times New Roman"/>
          <w:sz w:val="24"/>
          <w:szCs w:val="24"/>
          <w:lang w:val="en-US"/>
        </w:rPr>
      </w:pPr>
      <w:r w:rsidRPr="00DD2D90">
        <w:rPr>
          <w:rFonts w:ascii="Times New Roman" w:eastAsia="Times New Roman" w:hAnsi="Times New Roman" w:cs="Times New Roman"/>
          <w:i/>
          <w:iCs/>
          <w:sz w:val="24"/>
          <w:szCs w:val="24"/>
          <w:lang w:val="en-US"/>
        </w:rPr>
        <w:t>(Student, 14 years old)</w:t>
      </w:r>
    </w:p>
    <w:p w14:paraId="46BD26CA" w14:textId="77777777" w:rsidR="00DD2D90" w:rsidRPr="00DD2D90" w:rsidRDefault="00DD2D90" w:rsidP="00DD2D90">
      <w:pPr>
        <w:spacing w:after="0" w:line="360" w:lineRule="auto"/>
        <w:ind w:firstLine="567"/>
        <w:jc w:val="both"/>
        <w:rPr>
          <w:rFonts w:ascii="Times New Roman" w:eastAsia="Times New Roman" w:hAnsi="Times New Roman" w:cs="Times New Roman"/>
          <w:sz w:val="24"/>
          <w:szCs w:val="24"/>
          <w:lang w:val="en-US"/>
        </w:rPr>
      </w:pPr>
      <w:r w:rsidRPr="00DD2D90">
        <w:rPr>
          <w:rFonts w:ascii="Times New Roman" w:eastAsia="Times New Roman" w:hAnsi="Times New Roman" w:cs="Times New Roman"/>
          <w:sz w:val="24"/>
          <w:szCs w:val="24"/>
          <w:lang w:val="en-US"/>
        </w:rPr>
        <w:t xml:space="preserve">This quotation suggests that identity work in this context was closely tied to emotional self-protection and peer evaluation. Rather than articulating identity struggles explicitly, students expressed identity-related tensions through emotional reactions that signaled vulnerability and uncertainty. While much of the international literature conceptualizes identity development as an individual psychological process </w:t>
      </w:r>
      <w:r w:rsidRPr="00DD2D90">
        <w:rPr>
          <w:rFonts w:ascii="Times New Roman" w:eastAsia="Times New Roman" w:hAnsi="Times New Roman" w:cs="Times New Roman"/>
          <w:sz w:val="24"/>
          <w:szCs w:val="24"/>
          <w:lang w:val="en-US"/>
        </w:rPr>
        <w:fldChar w:fldCharType="begin"/>
      </w:r>
      <w:r w:rsidRPr="00DD2D90">
        <w:rPr>
          <w:rFonts w:ascii="Times New Roman" w:eastAsia="Times New Roman" w:hAnsi="Times New Roman" w:cs="Times New Roman"/>
          <w:sz w:val="24"/>
          <w:szCs w:val="24"/>
          <w:lang w:val="en-US"/>
        </w:rPr>
        <w:instrText xml:space="preserve"> ADDIN ZOTERO_ITEM CSL_CITATION {"citationID":"reeHk7hm","properties":{"formattedCitation":"(Schwartz et al., 2015)","plainCitation":"(Schwartz et al., 2015)","noteIndex":0},"citationItems":[{"id":107,"uris":["http://zotero.org/users/local/YszQGxaT/items/H5D653HJ"],"itemData":{"id":107,"type":"article-journal","abstract":"The present study was conducted to contribute to our understanding of young adult identity development by deriving latent profiles from intrapersonal and interpersonal indices of identity synthesis and confusion. A sample of 9737 college-attending young adults completed measures of identity, mental health, and health risk behaviors. Four latent profiles emerged: Synthesized (high synthesis, low confusion), Diffused (moderate synthesis, high confusion), Elevated (high synthesis and confusion), and Moderate (moderate synthesis and confusion). The Synthesized profile was associated with the highest well-being and the lowest levels of internalizing, externalizing, and health risks. The Diffused and Elevated profiles were both associated with low well-being and with high internalizing, externalizing, and risky behaviors — with the Elevated profile highest on all of the negative outcomes. The Moderate profile scored intermediately on well-being, internalizing, externalizing, and health risks. These results are discussed in terms of the role of identity within a successful transition to adulthood.","container-title":"Journal of Applied Developmental Psychology","DOI":"10.1016/j.appdev.2014.10.001","ISSN":"0193-3973","journalAbbreviation":"Journal of Applied Developmental Psychology","page":"39-52","source":"ScienceDirect","title":"Identity in young adulthood: Links with mental health and risky behavior","title-short":"Identity in young adulthood","volume":"36","author":[{"family":"Schwartz","given":"Seth J."},{"family":"Hardy","given":"Sam A."},{"family":"Zamboanga","given":"Byron L."},{"family":"Meca","given":"Alan"},{"family":"Waterman","given":"Alan S."},{"family":"Picariello","given":"Simona"},{"family":"Luyckx","given":"Koen"},{"family":"Crocetti","given":"Elisabetta"},{"family":"Kim","given":"Su Yeong"},{"family":"Brittian","given":"Aerika S."},{"family":"Roberts","given":"Sharon E."},{"family":"Whitbourne","given":"Susan Krauss"},{"family":"Ritchie","given":"Rachel A."},{"family":"Brown","given":"Elissa J."},{"family":"Forthun","given":"Larry F."}],"issued":{"date-parts":[["2015",1,1]]}}}],"schema":"https://github.com/citation-style-language/schema/raw/master/csl-citation.json"} </w:instrText>
      </w:r>
      <w:r w:rsidRPr="00DD2D90">
        <w:rPr>
          <w:rFonts w:ascii="Times New Roman" w:eastAsia="Times New Roman" w:hAnsi="Times New Roman" w:cs="Times New Roman"/>
          <w:sz w:val="24"/>
          <w:szCs w:val="24"/>
          <w:lang w:val="en-US"/>
        </w:rPr>
        <w:fldChar w:fldCharType="separate"/>
      </w:r>
      <w:r w:rsidRPr="00DD2D90">
        <w:rPr>
          <w:rFonts w:ascii="Times New Roman" w:eastAsia="Times New Roman" w:hAnsi="Times New Roman" w:cs="Times New Roman"/>
          <w:sz w:val="24"/>
          <w:szCs w:val="24"/>
          <w:lang w:val="en-US"/>
        </w:rPr>
        <w:t>(Schwartz et al., 2015)</w:t>
      </w:r>
      <w:r w:rsidRPr="00DD2D90">
        <w:rPr>
          <w:rFonts w:ascii="Times New Roman" w:eastAsia="Times New Roman" w:hAnsi="Times New Roman" w:cs="Times New Roman"/>
          <w:sz w:val="24"/>
          <w:szCs w:val="24"/>
        </w:rPr>
        <w:fldChar w:fldCharType="end"/>
      </w:r>
      <w:r w:rsidRPr="00DD2D90">
        <w:rPr>
          <w:rFonts w:ascii="Times New Roman" w:eastAsia="Times New Roman" w:hAnsi="Times New Roman" w:cs="Times New Roman"/>
          <w:sz w:val="24"/>
          <w:szCs w:val="24"/>
          <w:lang w:val="en-US"/>
        </w:rPr>
        <w:t xml:space="preserve">, the present findings </w:t>
      </w:r>
      <w:r w:rsidRPr="00DD2D90">
        <w:rPr>
          <w:rFonts w:ascii="Times New Roman" w:eastAsia="Times New Roman" w:hAnsi="Times New Roman" w:cs="Times New Roman"/>
          <w:sz w:val="24"/>
          <w:szCs w:val="24"/>
          <w:lang w:val="en-US"/>
        </w:rPr>
        <w:lastRenderedPageBreak/>
        <w:t>indicate that in a collectivistic social context, identity confusion is strongly mediated by relational dynamics, particularly peer recognition and group belonging.</w:t>
      </w:r>
    </w:p>
    <w:p w14:paraId="6185DC49" w14:textId="77777777" w:rsidR="00DD2D90" w:rsidRPr="00DD2D90" w:rsidRDefault="00DD2D90" w:rsidP="00DD2D90">
      <w:pPr>
        <w:spacing w:after="0" w:line="360" w:lineRule="auto"/>
        <w:ind w:firstLine="567"/>
        <w:jc w:val="both"/>
        <w:rPr>
          <w:rFonts w:ascii="Times New Roman" w:eastAsia="Times New Roman" w:hAnsi="Times New Roman" w:cs="Times New Roman"/>
          <w:sz w:val="24"/>
          <w:szCs w:val="24"/>
          <w:lang w:val="en-US"/>
        </w:rPr>
      </w:pPr>
      <w:r w:rsidRPr="00DD2D90">
        <w:rPr>
          <w:rFonts w:ascii="Times New Roman" w:eastAsia="Times New Roman" w:hAnsi="Times New Roman" w:cs="Times New Roman"/>
          <w:sz w:val="24"/>
          <w:szCs w:val="24"/>
          <w:lang w:val="en-US"/>
        </w:rPr>
        <w:t>Emotion regulation difficulties further compounded identity-related emotional challenges. Students frequently described responding impulsively in emotionally charged situations, followed by regret or self-blame.</w:t>
      </w:r>
    </w:p>
    <w:p w14:paraId="6760D29B" w14:textId="77777777" w:rsidR="00DD2D90" w:rsidRPr="00DD2D90" w:rsidRDefault="00DD2D90" w:rsidP="00DD2D90">
      <w:pPr>
        <w:spacing w:after="0" w:line="360" w:lineRule="auto"/>
        <w:ind w:firstLine="567"/>
        <w:jc w:val="both"/>
        <w:rPr>
          <w:rFonts w:ascii="Times New Roman" w:eastAsia="Times New Roman" w:hAnsi="Times New Roman" w:cs="Times New Roman"/>
          <w:sz w:val="24"/>
          <w:szCs w:val="24"/>
          <w:lang w:val="en-US"/>
        </w:rPr>
      </w:pPr>
      <w:r w:rsidRPr="00DD2D90">
        <w:rPr>
          <w:rFonts w:ascii="Times New Roman" w:eastAsia="Times New Roman" w:hAnsi="Times New Roman" w:cs="Times New Roman"/>
          <w:sz w:val="24"/>
          <w:szCs w:val="24"/>
          <w:lang w:val="en-US"/>
        </w:rPr>
        <w:t>“After I calm down, I feel sorry. I know I shouldn’t react like that, but at that moment I really don’t know how to stop myself.”</w:t>
      </w:r>
    </w:p>
    <w:p w14:paraId="087C6857" w14:textId="77777777" w:rsidR="00DD2D90" w:rsidRPr="00DD2D90" w:rsidRDefault="00DD2D90" w:rsidP="00DD2D90">
      <w:pPr>
        <w:spacing w:after="0" w:line="360" w:lineRule="auto"/>
        <w:ind w:firstLine="567"/>
        <w:jc w:val="both"/>
        <w:rPr>
          <w:rFonts w:ascii="Times New Roman" w:eastAsia="Times New Roman" w:hAnsi="Times New Roman" w:cs="Times New Roman"/>
          <w:sz w:val="24"/>
          <w:szCs w:val="24"/>
          <w:lang w:val="en-US"/>
        </w:rPr>
      </w:pPr>
      <w:r w:rsidRPr="00DD2D90">
        <w:rPr>
          <w:rFonts w:ascii="Times New Roman" w:eastAsia="Times New Roman" w:hAnsi="Times New Roman" w:cs="Times New Roman"/>
          <w:i/>
          <w:iCs/>
          <w:sz w:val="24"/>
          <w:szCs w:val="24"/>
          <w:lang w:val="en-US"/>
        </w:rPr>
        <w:t>(Student, 13 years old)</w:t>
      </w:r>
    </w:p>
    <w:p w14:paraId="62BEC7D7" w14:textId="5B8D71D3" w:rsidR="00DD2D90" w:rsidRPr="00DD2D90" w:rsidRDefault="00DD2D90" w:rsidP="00DD2D90">
      <w:pPr>
        <w:spacing w:after="0" w:line="360" w:lineRule="auto"/>
        <w:ind w:firstLine="567"/>
        <w:jc w:val="both"/>
        <w:rPr>
          <w:rFonts w:ascii="Times New Roman" w:eastAsia="Times New Roman" w:hAnsi="Times New Roman" w:cs="Times New Roman"/>
          <w:sz w:val="24"/>
          <w:szCs w:val="24"/>
          <w:lang w:val="en-US"/>
        </w:rPr>
      </w:pPr>
      <w:r w:rsidRPr="00DD2D90">
        <w:rPr>
          <w:rFonts w:ascii="Times New Roman" w:eastAsia="Times New Roman" w:hAnsi="Times New Roman" w:cs="Times New Roman"/>
          <w:sz w:val="24"/>
          <w:szCs w:val="24"/>
          <w:lang w:val="en-US"/>
        </w:rPr>
        <w:t xml:space="preserve">This pattern reflects limited access to adaptive regulation strategies, such as cognitive reappraisal or emotional distancing, which typically develop gradually throughout adolescence </w:t>
      </w:r>
      <w:r w:rsidRPr="00DD2D90">
        <w:rPr>
          <w:rFonts w:ascii="Times New Roman" w:eastAsia="Times New Roman" w:hAnsi="Times New Roman" w:cs="Times New Roman"/>
          <w:sz w:val="24"/>
          <w:szCs w:val="24"/>
          <w:lang w:val="en-US"/>
        </w:rPr>
        <w:fldChar w:fldCharType="begin"/>
      </w:r>
      <w:r w:rsidRPr="00DD2D90">
        <w:rPr>
          <w:rFonts w:ascii="Times New Roman" w:eastAsia="Times New Roman" w:hAnsi="Times New Roman" w:cs="Times New Roman"/>
          <w:sz w:val="24"/>
          <w:szCs w:val="24"/>
          <w:lang w:val="en-US"/>
        </w:rPr>
        <w:instrText xml:space="preserve"> ADDIN ZOTERO_ITEM CSL_CITATION {"citationID":"yZRLPz3j","properties":{"formattedCitation":"(Gross, 2015)","plainCitation":"(Gross, 2015)","noteIndex":0},"citationItems":[{"id":114,"uris":["http://zotero.org/users/local/YszQGxaT/items/8CRP43WU"],"itemData":{"id":114,"type":"article-journal","abstract":"One of the fastest growing areas within psychology is the field of emotion regulation. However, enthusiasm for this topic continues to outstrip conceptual clarity, and there remains considerable uncertainty as to what is even meant by “emotion regulation.” The goal of this review is to examine the current status and future prospects of this rapidly growing field. In the first section, I define emotion and emotion regulation and distinguish both from related constructs. In the second section, I use the process model of emotion regulation to selectively review evidence that different regulation strategies have different consequences. In the third section, I introduce the extended process model of emotion regulation; this model considers emotion regulation to be one type of valuation, and distinguishes three emotion regulation stages (identification, selection, implementation). In the final section, I consider five key growth points for the field of emotion regulation.","container-title":"Psychological Inquiry","DOI":"10.1080/1047840X.2014.940781","ISSN":"1047-840X","issue":"1","note":"publisher: Routledge\n_eprint: https://doi.org/10.1080/1047840X.2014.940781","page":"1-26","source":"Taylor and Francis+NEJM","title":"Emotion Regulation: Current Status and Future Prospects","title-short":"Emotion Regulation","volume":"26","author":[{"family":"Gross","given":"James J."}],"issued":{"date-parts":[["2015",1,2]]}}}],"schema":"https://github.com/citation-style-language/schema/raw/master/csl-citation.json"} </w:instrText>
      </w:r>
      <w:r w:rsidRPr="00DD2D90">
        <w:rPr>
          <w:rFonts w:ascii="Times New Roman" w:eastAsia="Times New Roman" w:hAnsi="Times New Roman" w:cs="Times New Roman"/>
          <w:sz w:val="24"/>
          <w:szCs w:val="24"/>
          <w:lang w:val="en-US"/>
        </w:rPr>
        <w:fldChar w:fldCharType="separate"/>
      </w:r>
      <w:r w:rsidRPr="00DD2D90">
        <w:rPr>
          <w:rFonts w:ascii="Times New Roman" w:eastAsia="Times New Roman" w:hAnsi="Times New Roman" w:cs="Times New Roman"/>
          <w:sz w:val="24"/>
          <w:szCs w:val="24"/>
          <w:lang w:val="en-US"/>
        </w:rPr>
        <w:t>(Gross, 2015)</w:t>
      </w:r>
      <w:r w:rsidRPr="00DD2D90">
        <w:rPr>
          <w:rFonts w:ascii="Times New Roman" w:eastAsia="Times New Roman" w:hAnsi="Times New Roman" w:cs="Times New Roman"/>
          <w:sz w:val="24"/>
          <w:szCs w:val="24"/>
        </w:rPr>
        <w:fldChar w:fldCharType="end"/>
      </w:r>
      <w:r w:rsidRPr="00DD2D90">
        <w:rPr>
          <w:rFonts w:ascii="Times New Roman" w:eastAsia="Times New Roman" w:hAnsi="Times New Roman" w:cs="Times New Roman"/>
          <w:sz w:val="24"/>
          <w:szCs w:val="24"/>
          <w:lang w:val="en-US"/>
        </w:rPr>
        <w:t xml:space="preserve">. Without structured opportunities to learn and practice these strategies, students remain reliant on reactive emotional responses, reinforcing cycles of interpersonal conflict and emotional distress. These findings support theoretical perspectives that view emotion regulation as a socially learned, context-dependent process rather than a purely individual skill </w:t>
      </w:r>
      <w:r w:rsidRPr="00DD2D90">
        <w:rPr>
          <w:rFonts w:ascii="Times New Roman" w:eastAsia="Times New Roman" w:hAnsi="Times New Roman" w:cs="Times New Roman"/>
          <w:sz w:val="24"/>
          <w:szCs w:val="24"/>
          <w:lang w:val="en-US"/>
        </w:rPr>
        <w:fldChar w:fldCharType="begin"/>
      </w:r>
      <w:r w:rsidRPr="00DD2D90">
        <w:rPr>
          <w:rFonts w:ascii="Times New Roman" w:eastAsia="Times New Roman" w:hAnsi="Times New Roman" w:cs="Times New Roman"/>
          <w:sz w:val="24"/>
          <w:szCs w:val="24"/>
          <w:lang w:val="en-US"/>
        </w:rPr>
        <w:instrText xml:space="preserve"> ADDIN ZOTERO_ITEM CSL_CITATION {"citationID":"i1h9lW07","properties":{"formattedCitation":"(Gross, 2015; Lasmanawati, 2021)","plainCitation":"(Gross, 2015; Lasmanawati, 2021)","noteIndex":0},"citationItems":[{"id":114,"uris":["http://zotero.org/users/local/YszQGxaT/items/8CRP43WU"],"itemData":{"id":114,"type":"article-journal","abstract":"One of the fastest growing areas within psychology is the field of emotion regulation. However, enthusiasm for this topic continues to outstrip conceptual clarity, and there remains considerable uncertainty as to what is even meant by “emotion regulation.” The goal of this review is to examine the current status and future prospects of this rapidly growing field. In the first section, I define emotion and emotion regulation and distinguish both from related constructs. In the second section, I use the process model of emotion regulation to selectively review evidence that different regulation strategies have different consequences. In the third section, I introduce the extended process model of emotion regulation; this model considers emotion regulation to be one type of valuation, and distinguishes three emotion regulation stages (identification, selection, implementation). In the final section, I consider five key growth points for the field of emotion regulation.","container-title":"Psychological Inquiry","DOI":"10.1080/1047840X.2014.940781","ISSN":"1047-840X","issue":"1","note":"publisher: Routledge\n_eprint: https://doi.org/10.1080/1047840X.2014.940781","page":"1-26","source":"Taylor and Francis+NEJM","title":"Emotion Regulation: Current Status and Future Prospects","title-short":"Emotion Regulation","volume":"26","author":[{"family":"Gross","given":"James J."}],"issued":{"date-parts":[["2015",1,2]]}}},{"id":110,"uris":["http://zotero.org/users/local/YszQGxaT/items/SIBAZM7S"],"itemData":{"id":110,"type":"article-journal","container-title":"Humanika","issue":"1","page":"1–16","source":"Google Scholar","title":"Self-regulation learning strategies in problem solving","volume":"21","author":[{"family":"Lasmanawati","given":"Ati"}],"issued":{"date-parts":[["2021"]]}}}],"schema":"https://github.com/citation-style-language/schema/raw/master/csl-citation.json"} </w:instrText>
      </w:r>
      <w:r w:rsidRPr="00DD2D90">
        <w:rPr>
          <w:rFonts w:ascii="Times New Roman" w:eastAsia="Times New Roman" w:hAnsi="Times New Roman" w:cs="Times New Roman"/>
          <w:sz w:val="24"/>
          <w:szCs w:val="24"/>
          <w:lang w:val="en-US"/>
        </w:rPr>
        <w:fldChar w:fldCharType="separate"/>
      </w:r>
      <w:r w:rsidRPr="00DD2D90">
        <w:rPr>
          <w:rFonts w:ascii="Times New Roman" w:eastAsia="Times New Roman" w:hAnsi="Times New Roman" w:cs="Times New Roman"/>
          <w:sz w:val="24"/>
          <w:szCs w:val="24"/>
          <w:lang w:val="en-US"/>
        </w:rPr>
        <w:t>(Gross, 2015; Lasmanawati, 2021)</w:t>
      </w:r>
      <w:r w:rsidRPr="00DD2D90">
        <w:rPr>
          <w:rFonts w:ascii="Times New Roman" w:eastAsia="Times New Roman" w:hAnsi="Times New Roman" w:cs="Times New Roman"/>
          <w:sz w:val="24"/>
          <w:szCs w:val="24"/>
        </w:rPr>
        <w:fldChar w:fldCharType="end"/>
      </w:r>
      <w:r w:rsidRPr="00DD2D90">
        <w:rPr>
          <w:rFonts w:ascii="Times New Roman" w:eastAsia="Times New Roman" w:hAnsi="Times New Roman" w:cs="Times New Roman"/>
          <w:sz w:val="24"/>
          <w:szCs w:val="24"/>
          <w:lang w:val="en-US"/>
        </w:rPr>
        <w:t>.</w:t>
      </w:r>
    </w:p>
    <w:p w14:paraId="4C055DEB" w14:textId="77777777" w:rsidR="00DD2D90" w:rsidRPr="00DD2D90" w:rsidRDefault="00DD2D90" w:rsidP="00DD2D90">
      <w:pPr>
        <w:spacing w:after="0" w:line="360" w:lineRule="auto"/>
        <w:jc w:val="both"/>
        <w:rPr>
          <w:rFonts w:ascii="Times New Roman" w:eastAsia="Times New Roman" w:hAnsi="Times New Roman" w:cs="Times New Roman"/>
          <w:b/>
          <w:bCs/>
          <w:i/>
          <w:iCs/>
          <w:sz w:val="24"/>
          <w:szCs w:val="24"/>
          <w:lang w:val="en-US"/>
        </w:rPr>
      </w:pPr>
      <w:r w:rsidRPr="00DD2D90">
        <w:rPr>
          <w:rFonts w:ascii="Times New Roman" w:eastAsia="Times New Roman" w:hAnsi="Times New Roman" w:cs="Times New Roman"/>
          <w:b/>
          <w:bCs/>
          <w:i/>
          <w:iCs/>
          <w:sz w:val="24"/>
          <w:szCs w:val="24"/>
          <w:lang w:val="en-US"/>
        </w:rPr>
        <w:t>External Factors Reconsidered: Family Emotional Climate and Peer Relationships</w:t>
      </w:r>
    </w:p>
    <w:p w14:paraId="04F0DFE9" w14:textId="77777777" w:rsidR="00DD2D90" w:rsidRPr="00DD2D90" w:rsidRDefault="00DD2D90" w:rsidP="00DD2D90">
      <w:pPr>
        <w:spacing w:after="0" w:line="360" w:lineRule="auto"/>
        <w:ind w:firstLine="567"/>
        <w:jc w:val="both"/>
        <w:rPr>
          <w:rFonts w:ascii="Times New Roman" w:eastAsia="Times New Roman" w:hAnsi="Times New Roman" w:cs="Times New Roman"/>
          <w:sz w:val="24"/>
          <w:szCs w:val="24"/>
          <w:lang w:val="en-US"/>
        </w:rPr>
      </w:pPr>
      <w:r w:rsidRPr="00DD2D90">
        <w:rPr>
          <w:rFonts w:ascii="Times New Roman" w:eastAsia="Times New Roman" w:hAnsi="Times New Roman" w:cs="Times New Roman"/>
          <w:sz w:val="24"/>
          <w:szCs w:val="24"/>
          <w:lang w:val="en-US"/>
        </w:rPr>
        <w:t>Beyond internal developmental processes, students’ emotional experiences were significantly shaped by external relational contexts, particularly family emotional support and peer interactions within the school environment. Students who reported limited emotional communication at home had greater difficulty processing school-related stress and tended to internalize emotional distress rather than express it openly.</w:t>
      </w:r>
    </w:p>
    <w:p w14:paraId="27CA9176" w14:textId="77777777" w:rsidR="00DD2D90" w:rsidRPr="00DD2D90" w:rsidRDefault="00DD2D90" w:rsidP="00DD2D90">
      <w:pPr>
        <w:spacing w:after="0" w:line="360" w:lineRule="auto"/>
        <w:ind w:firstLine="567"/>
        <w:jc w:val="both"/>
        <w:rPr>
          <w:rFonts w:ascii="Times New Roman" w:eastAsia="Times New Roman" w:hAnsi="Times New Roman" w:cs="Times New Roman"/>
          <w:sz w:val="24"/>
          <w:szCs w:val="24"/>
          <w:lang w:val="en-US"/>
        </w:rPr>
      </w:pPr>
      <w:r w:rsidRPr="00DD2D90">
        <w:rPr>
          <w:rFonts w:ascii="Times New Roman" w:eastAsia="Times New Roman" w:hAnsi="Times New Roman" w:cs="Times New Roman"/>
          <w:sz w:val="24"/>
          <w:szCs w:val="24"/>
          <w:lang w:val="en-US"/>
        </w:rPr>
        <w:t>One student shared:</w:t>
      </w:r>
    </w:p>
    <w:p w14:paraId="213B2EF7" w14:textId="77777777" w:rsidR="00DD2D90" w:rsidRPr="00DD2D90" w:rsidRDefault="00DD2D90" w:rsidP="00DD2D90">
      <w:pPr>
        <w:spacing w:after="0" w:line="360" w:lineRule="auto"/>
        <w:ind w:firstLine="567"/>
        <w:jc w:val="both"/>
        <w:rPr>
          <w:rFonts w:ascii="Times New Roman" w:eastAsia="Times New Roman" w:hAnsi="Times New Roman" w:cs="Times New Roman"/>
          <w:sz w:val="24"/>
          <w:szCs w:val="24"/>
          <w:lang w:val="en-US"/>
        </w:rPr>
      </w:pPr>
      <w:r w:rsidRPr="00DD2D90">
        <w:rPr>
          <w:rFonts w:ascii="Times New Roman" w:eastAsia="Times New Roman" w:hAnsi="Times New Roman" w:cs="Times New Roman"/>
          <w:sz w:val="24"/>
          <w:szCs w:val="24"/>
          <w:lang w:val="en-US"/>
        </w:rPr>
        <w:t>“My parents are always busy and rarely talk to me. When something happens at school, I keep it to myself. Over time, I feel angry inside, and sometimes I cry alone at home.”</w:t>
      </w:r>
    </w:p>
    <w:p w14:paraId="76857E10" w14:textId="77777777" w:rsidR="00DD2D90" w:rsidRPr="00DD2D90" w:rsidRDefault="00DD2D90" w:rsidP="00DD2D90">
      <w:pPr>
        <w:spacing w:after="0" w:line="360" w:lineRule="auto"/>
        <w:ind w:firstLine="567"/>
        <w:jc w:val="both"/>
        <w:rPr>
          <w:rFonts w:ascii="Times New Roman" w:eastAsia="Times New Roman" w:hAnsi="Times New Roman" w:cs="Times New Roman"/>
          <w:sz w:val="24"/>
          <w:szCs w:val="24"/>
          <w:lang w:val="en-US"/>
        </w:rPr>
      </w:pPr>
      <w:r w:rsidRPr="00DD2D90">
        <w:rPr>
          <w:rFonts w:ascii="Times New Roman" w:eastAsia="Times New Roman" w:hAnsi="Times New Roman" w:cs="Times New Roman"/>
          <w:i/>
          <w:iCs/>
          <w:sz w:val="24"/>
          <w:szCs w:val="24"/>
          <w:lang w:val="en-US"/>
        </w:rPr>
        <w:t>(Student, 14 years old)</w:t>
      </w:r>
    </w:p>
    <w:p w14:paraId="7A421ED3" w14:textId="77777777" w:rsidR="00DD2D90" w:rsidRPr="00DD2D90" w:rsidRDefault="00DD2D90" w:rsidP="00DD2D90">
      <w:pPr>
        <w:spacing w:after="0" w:line="360" w:lineRule="auto"/>
        <w:ind w:firstLine="567"/>
        <w:jc w:val="both"/>
        <w:rPr>
          <w:rFonts w:ascii="Times New Roman" w:eastAsia="Times New Roman" w:hAnsi="Times New Roman" w:cs="Times New Roman"/>
          <w:sz w:val="24"/>
          <w:szCs w:val="24"/>
          <w:lang w:val="en-US"/>
        </w:rPr>
      </w:pPr>
      <w:r w:rsidRPr="00DD2D90">
        <w:rPr>
          <w:rFonts w:ascii="Times New Roman" w:eastAsia="Times New Roman" w:hAnsi="Times New Roman" w:cs="Times New Roman"/>
          <w:sz w:val="24"/>
          <w:szCs w:val="24"/>
          <w:lang w:val="en-US"/>
        </w:rPr>
        <w:t xml:space="preserve">This narrative highlights the role of family emotional availability as a critical protective resource during early adolescence. In the absence of emotionally responsive communication, students lacked safe spaces to reflect on emotional experiences and develop adaptive coping strategies. Consistent with ecological developmental theory, the family emotional climate serves as a proximal system that shapes adolescents’ emotional learning and regulation capacities </w:t>
      </w:r>
      <w:r w:rsidRPr="00DD2D90">
        <w:rPr>
          <w:rFonts w:ascii="Times New Roman" w:eastAsia="Times New Roman" w:hAnsi="Times New Roman" w:cs="Times New Roman"/>
          <w:sz w:val="24"/>
          <w:szCs w:val="24"/>
          <w:lang w:val="en-US"/>
        </w:rPr>
        <w:fldChar w:fldCharType="begin"/>
      </w:r>
      <w:r w:rsidRPr="00DD2D90">
        <w:rPr>
          <w:rFonts w:ascii="Times New Roman" w:eastAsia="Times New Roman" w:hAnsi="Times New Roman" w:cs="Times New Roman"/>
          <w:sz w:val="24"/>
          <w:szCs w:val="24"/>
          <w:lang w:val="en-US"/>
        </w:rPr>
        <w:instrText xml:space="preserve"> ADDIN ZOTERO_ITEM CSL_CITATION {"citationID":"lq5sBi30","properties":{"formattedCitation":"(Bronfenbrenner &amp; Morris, 2006)","plainCitation":"(Bronfenbrenner &amp; Morris, 2006)","noteIndex":0},"citationItems":[{"id":103,"uris":["http://zotero.org/users/local/YszQGxaT/items/9MDQ8HJ5"],"itemData":{"id":103,"type":"chapter","abstract":"In this chapter, we undertake to present the ecological model of human development that has been introduced in a prior edition of this Handbook. The bioecological model is an evolving theoretical system for the scientific study of human development over time. The model presented in this chapter represents major theoretical innovations from the 1983 chapter in both form and content. The new model is not a paradigm shift, but rather represents a transition from a focus on the environment to a focus on proximal processes as engines of development. We begin with the defining properties of the model, which involves four principal components (process, person, context, and time), and the dynamic, interactive relationships among them. We then turn to the research designs required for testing the model. In doing so, we not only present the next stage in the evolution of an ecological theory of human development, but we also document the requirements for conducting developmental research in the discovery mode. We conclude with a look to the future—and what the bioecological model means for the future development of our species.","container-title":"Handbook of Child Psychology","ISBN":"978-0-470-14765-8","language":"en","license":"Copyright © 2006 John Wiley &amp; Sons, Inc. All rights reserved.","note":"section: 14\n_eprint: https://onlinelibrary.wiley.com/doi/pdf/10.1002/9780470147658.chpsy0114\nDOI: 10.1002/9780470147658.chpsy0114","publisher":"John Wiley &amp; Sons, Ltd","source":"Wiley Online Library","title":"The Bioecological Model of Human Development","URL":"https://onlinelibrary.wiley.com/doi/abs/10.1002/9780470147658.chpsy0114","author":[{"family":"Bronfenbrenner","given":"Urie"},{"family":"Morris","given":"Pamela A."}],"accessed":{"date-parts":[["2025",12,19]]},"issued":{"date-parts":[["2006"]]}}}],"schema":"https://github.com/citation-style-language/schema/raw/master/csl-citation.json"} </w:instrText>
      </w:r>
      <w:r w:rsidRPr="00DD2D90">
        <w:rPr>
          <w:rFonts w:ascii="Times New Roman" w:eastAsia="Times New Roman" w:hAnsi="Times New Roman" w:cs="Times New Roman"/>
          <w:sz w:val="24"/>
          <w:szCs w:val="24"/>
          <w:lang w:val="en-US"/>
        </w:rPr>
        <w:fldChar w:fldCharType="separate"/>
      </w:r>
      <w:r w:rsidRPr="00DD2D90">
        <w:rPr>
          <w:rFonts w:ascii="Times New Roman" w:eastAsia="Times New Roman" w:hAnsi="Times New Roman" w:cs="Times New Roman"/>
          <w:sz w:val="24"/>
          <w:szCs w:val="24"/>
          <w:lang w:val="en-US"/>
        </w:rPr>
        <w:t>(Bronfenbrenner &amp; Morris, 2006)</w:t>
      </w:r>
      <w:r w:rsidRPr="00DD2D90">
        <w:rPr>
          <w:rFonts w:ascii="Times New Roman" w:eastAsia="Times New Roman" w:hAnsi="Times New Roman" w:cs="Times New Roman"/>
          <w:sz w:val="24"/>
          <w:szCs w:val="24"/>
        </w:rPr>
        <w:fldChar w:fldCharType="end"/>
      </w:r>
      <w:r w:rsidRPr="00DD2D90">
        <w:rPr>
          <w:rFonts w:ascii="Times New Roman" w:eastAsia="Times New Roman" w:hAnsi="Times New Roman" w:cs="Times New Roman"/>
          <w:sz w:val="24"/>
          <w:szCs w:val="24"/>
          <w:lang w:val="en-US"/>
        </w:rPr>
        <w:t>.</w:t>
      </w:r>
    </w:p>
    <w:p w14:paraId="55A57DF6" w14:textId="77777777" w:rsidR="00DD2D90" w:rsidRPr="00DD2D90" w:rsidRDefault="00DD2D90" w:rsidP="00DD2D90">
      <w:pPr>
        <w:spacing w:after="0" w:line="360" w:lineRule="auto"/>
        <w:ind w:firstLine="567"/>
        <w:jc w:val="both"/>
        <w:rPr>
          <w:rFonts w:ascii="Times New Roman" w:eastAsia="Times New Roman" w:hAnsi="Times New Roman" w:cs="Times New Roman"/>
          <w:sz w:val="24"/>
          <w:szCs w:val="24"/>
          <w:lang w:val="en-US"/>
        </w:rPr>
      </w:pPr>
      <w:r w:rsidRPr="00DD2D90">
        <w:rPr>
          <w:rFonts w:ascii="Times New Roman" w:eastAsia="Times New Roman" w:hAnsi="Times New Roman" w:cs="Times New Roman"/>
          <w:sz w:val="24"/>
          <w:szCs w:val="24"/>
          <w:lang w:val="en-US"/>
        </w:rPr>
        <w:lastRenderedPageBreak/>
        <w:t xml:space="preserve">International studies similarly demonstrate that supportive parent–child relationships are strong predictors of adolescents’ emotional well-being, whereas emotional distance within families increases vulnerability to stress and internalizing difficulties </w:t>
      </w:r>
      <w:r w:rsidRPr="00DD2D90">
        <w:rPr>
          <w:rFonts w:ascii="Times New Roman" w:eastAsia="Times New Roman" w:hAnsi="Times New Roman" w:cs="Times New Roman"/>
          <w:sz w:val="24"/>
          <w:szCs w:val="24"/>
          <w:lang w:val="en-US"/>
        </w:rPr>
        <w:fldChar w:fldCharType="begin"/>
      </w:r>
      <w:r w:rsidRPr="00DD2D90">
        <w:rPr>
          <w:rFonts w:ascii="Times New Roman" w:eastAsia="Times New Roman" w:hAnsi="Times New Roman" w:cs="Times New Roman"/>
          <w:sz w:val="24"/>
          <w:szCs w:val="24"/>
          <w:lang w:val="en-US"/>
        </w:rPr>
        <w:instrText xml:space="preserve"> ADDIN ZOTERO_ITEM CSL_CITATION {"citationID":"odbeBqZl","properties":{"unsorted":true,"formattedCitation":"(Rueger et al., 2016; Latipah, 2017)","plainCitation":"(Rueger et al., 2016; Latipah, 2017)","noteIndex":0},"citationItems":[{"id":115,"uris":["http://zotero.org/users/local/YszQGxaT/items/CIQZN7V8"],"itemData":{"id":115,"type":"article-journal","abstract":"This meta-analysis evaluated the relation between social support and depression in youth and compared the cumulative evidence for 2 theories that have been proposed to explain this association: the general benefits (GB; also known as main effects) and stress-buffering (SB) models. The study included 341 articles (19% unpublished) gathered through a search in PsycINFO, PsycARTICLES, ERIC, and ProQuest, and a hand search of 11 relevant journals. Using a random effects model, the overall effect size based on k = 341 studies and N = 273,149 participants was r = .26 (95% CI [.24, .28]), with robust support for the GB model and support for the SB model among medically ill youth. Stress-buffering analyses suggest that different stressful contexts may not allow youth to fully draw on the benefits of social support, and we propose value in seeking to better understand both stress-buffering (effects of social support are enhanced) and reverse stress-buffering (effects of social support are dampened) processes. Key findings regarding other moderators include a different pattern of effect sizes across various sources of support. In addition, gender differences were largely absent from this study, suggesting that social support may be a more critical resource for boys than is typically acknowledged. Results also demonstrated the importance of using instruments with adequate psychometric support, with careful consideration of methodological and conceptual issues. Building upon these collective findings, we provide recommendations for theory and practice, as well as recommendations for addressing limitations in the extant literature to guide future investigations. (PsycInfo Database Record (c) 2025 APA, all rights reserved)","container-title":"Psychological Bulletin","DOI":"10.1037/bul0000058","ISSN":"1939-1455","issue":"10","note":"publisher-place: US\npublisher: American Psychological Association","page":"1017-1067","source":"APA PsycNet","title":"A meta-analytic review of the association between perceived social support and depression in childhood and adolescence","volume":"142","author":[{"family":"Rueger","given":"Sandra Yu"},{"family":"Malecki","given":"Christine Kerres"},{"family":"Pyun","given":"Yoonsun"},{"family":"Aycock","given":"Chase"},{"family":"Coyle","given":"Samantha"}],"issued":{"date-parts":[["2016"]]}}},{"id":76,"uris":["http://zotero.org/users/local/YszQGxaT/items/222W9T2E"],"itemData":{"id":76,"type":"article-journal","abstract":"Self regulated learning has a very important role on many aspects of life, especially academic field. This study aimed to examine effect of experiential learning strategies to students self-regulated learning and its components (learning motivation, learning strategies cognitive, metacognitive regulation, and manage resources). Subjects were 40 in experimental group and 40 in control group. Instruments used in data collection is self regulated learning scale and experiential learning modules are used as a guideline in applying experiential learning strategy. Multivariate analysis techniques are used to analyze data. Results show that there are significant differences of self regulated learning, learning motivation, cognitive learning strategies, metacognitive regulation, and manage resources between experimental and control groups. This means that experiential learning strategies can improve student self-regulated learning.","container-title":"HUMANITAS","DOI":"10.26555/humanitas.v14i1.4547","ISSN":"1693-7236","issue":"1","journalAbbreviation":"HUMANITAS","language":"id","page":"41","source":"DOI.org (Crossref)","title":"The influence of experiential learning strategies on students’ self-regulated learning.","volume":"14","author":[{"family":"Latipah","given":"Eva"}],"issued":{"date-parts":[["2017",2,1]]}}}],"schema":"https://github.com/citation-style-language/schema/raw/master/csl-citation.json"} </w:instrText>
      </w:r>
      <w:r w:rsidRPr="00DD2D90">
        <w:rPr>
          <w:rFonts w:ascii="Times New Roman" w:eastAsia="Times New Roman" w:hAnsi="Times New Roman" w:cs="Times New Roman"/>
          <w:sz w:val="24"/>
          <w:szCs w:val="24"/>
          <w:lang w:val="en-US"/>
        </w:rPr>
        <w:fldChar w:fldCharType="separate"/>
      </w:r>
      <w:r w:rsidRPr="00DD2D90">
        <w:rPr>
          <w:rFonts w:ascii="Times New Roman" w:eastAsia="Times New Roman" w:hAnsi="Times New Roman" w:cs="Times New Roman"/>
          <w:sz w:val="24"/>
          <w:szCs w:val="24"/>
          <w:lang w:val="en-US"/>
        </w:rPr>
        <w:t>(Rueger et al., 2016; Latipah, 2017)</w:t>
      </w:r>
      <w:r w:rsidRPr="00DD2D90">
        <w:rPr>
          <w:rFonts w:ascii="Times New Roman" w:eastAsia="Times New Roman" w:hAnsi="Times New Roman" w:cs="Times New Roman"/>
          <w:sz w:val="24"/>
          <w:szCs w:val="24"/>
        </w:rPr>
        <w:fldChar w:fldCharType="end"/>
      </w:r>
      <w:r w:rsidRPr="00DD2D90">
        <w:rPr>
          <w:rFonts w:ascii="Times New Roman" w:eastAsia="Times New Roman" w:hAnsi="Times New Roman" w:cs="Times New Roman"/>
          <w:sz w:val="24"/>
          <w:szCs w:val="24"/>
          <w:lang w:val="en-US"/>
        </w:rPr>
        <w:t>. The present findings reinforce this evidence by illustrating how family dynamics directly influence students’ emotional resilience in school settings.</w:t>
      </w:r>
    </w:p>
    <w:p w14:paraId="48DE2334" w14:textId="77777777" w:rsidR="00DD2D90" w:rsidRPr="00DD2D90" w:rsidRDefault="00DD2D90" w:rsidP="00DD2D90">
      <w:pPr>
        <w:spacing w:after="0" w:line="360" w:lineRule="auto"/>
        <w:ind w:firstLine="567"/>
        <w:jc w:val="both"/>
        <w:rPr>
          <w:rFonts w:ascii="Times New Roman" w:eastAsia="Times New Roman" w:hAnsi="Times New Roman" w:cs="Times New Roman"/>
          <w:sz w:val="24"/>
          <w:szCs w:val="24"/>
          <w:lang w:val="en-US"/>
        </w:rPr>
      </w:pPr>
      <w:r w:rsidRPr="00DD2D90">
        <w:rPr>
          <w:rFonts w:ascii="Times New Roman" w:eastAsia="Times New Roman" w:hAnsi="Times New Roman" w:cs="Times New Roman"/>
          <w:sz w:val="24"/>
          <w:szCs w:val="24"/>
          <w:lang w:val="en-US"/>
        </w:rPr>
        <w:t>Peer relationships interacted with family support to shape emotional outcomes. Students frequently described experiences of teasing, exclusion, or interpersonal conflict as emotionally distressing:</w:t>
      </w:r>
    </w:p>
    <w:p w14:paraId="0CF95DC2" w14:textId="77777777" w:rsidR="00DD2D90" w:rsidRPr="00DD2D90" w:rsidRDefault="00DD2D90" w:rsidP="00DD2D90">
      <w:pPr>
        <w:spacing w:after="0" w:line="360" w:lineRule="auto"/>
        <w:ind w:firstLine="567"/>
        <w:jc w:val="both"/>
        <w:rPr>
          <w:rFonts w:ascii="Times New Roman" w:eastAsia="Times New Roman" w:hAnsi="Times New Roman" w:cs="Times New Roman"/>
          <w:sz w:val="24"/>
          <w:szCs w:val="24"/>
          <w:lang w:val="en-US"/>
        </w:rPr>
      </w:pPr>
      <w:r w:rsidRPr="00DD2D90">
        <w:rPr>
          <w:rFonts w:ascii="Times New Roman" w:eastAsia="Times New Roman" w:hAnsi="Times New Roman" w:cs="Times New Roman"/>
          <w:sz w:val="24"/>
          <w:szCs w:val="24"/>
          <w:lang w:val="en-US"/>
        </w:rPr>
        <w:t>“Sometimes my friends joke too much. I laugh, but actually it hurts and makes me angry.”</w:t>
      </w:r>
    </w:p>
    <w:p w14:paraId="558E831D" w14:textId="77777777" w:rsidR="00DD2D90" w:rsidRPr="00DD2D90" w:rsidRDefault="00DD2D90" w:rsidP="00DD2D90">
      <w:pPr>
        <w:spacing w:after="0" w:line="360" w:lineRule="auto"/>
        <w:ind w:firstLine="567"/>
        <w:jc w:val="both"/>
        <w:rPr>
          <w:rFonts w:ascii="Times New Roman" w:eastAsia="Times New Roman" w:hAnsi="Times New Roman" w:cs="Times New Roman"/>
          <w:sz w:val="24"/>
          <w:szCs w:val="24"/>
          <w:lang w:val="en-US"/>
        </w:rPr>
      </w:pPr>
      <w:r w:rsidRPr="00DD2D90">
        <w:rPr>
          <w:rFonts w:ascii="Times New Roman" w:eastAsia="Times New Roman" w:hAnsi="Times New Roman" w:cs="Times New Roman"/>
          <w:i/>
          <w:iCs/>
          <w:sz w:val="24"/>
          <w:szCs w:val="24"/>
          <w:lang w:val="en-US"/>
        </w:rPr>
        <w:t>(Student, 13 years old)</w:t>
      </w:r>
    </w:p>
    <w:p w14:paraId="1EE393BB" w14:textId="5C548D6F" w:rsidR="00DD2D90" w:rsidRPr="00DD2D90" w:rsidRDefault="00DD2D90" w:rsidP="00DD2D90">
      <w:pPr>
        <w:spacing w:after="0" w:line="360" w:lineRule="auto"/>
        <w:ind w:firstLine="567"/>
        <w:jc w:val="both"/>
        <w:rPr>
          <w:rFonts w:ascii="Times New Roman" w:eastAsia="Times New Roman" w:hAnsi="Times New Roman" w:cs="Times New Roman"/>
          <w:sz w:val="24"/>
          <w:szCs w:val="24"/>
          <w:lang w:val="en-US"/>
        </w:rPr>
      </w:pPr>
      <w:r w:rsidRPr="00DD2D90">
        <w:rPr>
          <w:rFonts w:ascii="Times New Roman" w:eastAsia="Times New Roman" w:hAnsi="Times New Roman" w:cs="Times New Roman"/>
          <w:sz w:val="24"/>
          <w:szCs w:val="24"/>
          <w:lang w:val="en-US"/>
        </w:rPr>
        <w:t xml:space="preserve">While positive peer connections served as protective factors, negative peer experiences significantly intensified emotional instability, particularly among students who lacked emotional support at home. This pattern suggests a cumulative risk process in which multiple relational stressors interact to amplify emotional vulnerability. These findings align with research indicating that emotional risk factors often operate synergistically rather than independently during adolescence </w:t>
      </w:r>
      <w:r w:rsidRPr="00DD2D90">
        <w:rPr>
          <w:rFonts w:ascii="Times New Roman" w:eastAsia="Times New Roman" w:hAnsi="Times New Roman" w:cs="Times New Roman"/>
          <w:sz w:val="24"/>
          <w:szCs w:val="24"/>
          <w:lang w:val="en-US"/>
        </w:rPr>
        <w:fldChar w:fldCharType="begin"/>
      </w:r>
      <w:r w:rsidRPr="00DD2D90">
        <w:rPr>
          <w:rFonts w:ascii="Times New Roman" w:eastAsia="Times New Roman" w:hAnsi="Times New Roman" w:cs="Times New Roman"/>
          <w:sz w:val="24"/>
          <w:szCs w:val="24"/>
          <w:lang w:val="en-US"/>
        </w:rPr>
        <w:instrText xml:space="preserve"> ADDIN ZOTERO_ITEM CSL_CITATION {"citationID":"M2yqraXg","properties":{"formattedCitation":"(McLaughlin et al., 2019; Rohmatillah et al., 2024)","plainCitation":"(McLaughlin et al., 2019; Rohmatillah et al., 2024)","noteIndex":0},"citationItems":[{"id":140,"uris":["http://zotero.org/users/local/YszQGxaT/items/TR76KM6F"],"itemData":{"id":140,"type":"article-journal","abstract":"Adolescence is a phase of the lifespan associated with widespread changes in emotional behavior thought to reflect both changing environments and stressors, and psychological and neurobiological development. However, emotions themselves are complex phenomena that are composed of multiple subprocesses. In this paper, we argue that examining emotional development from a process-level perspective facilitates important insights into the mechanisms that underlie adolescents' shifting emotions and intensified risk for psychopathology. Contrasting the developmental progressions for the antecedents to emotion, physiological reactivity to emotion, emotional regulation capacity, and motivation to experience particular affective states reveals complex trajectories that intersect in a unique way during adolescence. We consider the implications of these intersecting trajectories for negative outcomes such as psychopathology, as well as positive outcomes for adolescent social bonds.","container-title":"Dialogues in Clinical Neuroscience","DOI":"10.31887/DCNS.2015.17.4/kmclaughlin","ISSN":"1294-8322","issue":"4","journalAbbreviation":"Dialogues Clin Neurosci","note":"PMID: 26869841\nPMCID: PMC4734878","page":"403-410","source":"PubMed Central","title":"What develops during emotional development? A component process approach to identifying sources of psychopathology risk in adolescence","title-short":"What develops during emotional development?","volume":"17","author":[{"family":"McLaughlin","given":"Katie A."},{"family":"Garrad","given":"Megan C."},{"family":"Somerville","given":"Leah H."}],"issued":{"date-parts":[["2019"]]}}},{"id":89,"uris":["http://zotero.org/users/local/YszQGxaT/items/QXE3STDW"],"itemData":{"id":89,"type":"article-journal","abstract":"The use of information technology and social media among teenagers is a major concern in their psychological context. This research applies literature study methods to investigate the impact of social media use on the psychological well-being of adolescents. Based on data from the Ministry of Communication and Information (Kominfo), Indonesian teenagers are highly exposed to social media, with 79.5 percent of them being internet users. Social media has become integral to teenagers' daily lives, playing an important role in communication, social interaction, and the search for identity. This study focuses attention on aspects of anxiety and depression as indicators of adolescent psychological well-being. Research results suggest that excessive social media use, exposure to cyberbullying, and social comparison may contribute to increased levels of anxiety and depression. The literature study method is used to detail the influence of social media on teenagers, exploring information from various related literature sources. Additionally, this study identified moderating factors, such as offline social support and regulation of social media use, that influence the complexity of the relationship between social media and adolescents' psychological well-being.","container-title":"TA'LIM : Jurnal Studi Pendidikan Islam","DOI":"10.52166/talim.v7i1.6292","ISSN":"2621-0460","issue":"1","language":"en","license":"Copyright (c) 2024 TA‘LIM: Jurnal Studi Pendidikan Islam","page":"154-165","source":"e-jurnal.unisda.ac.id","title":"Social media and adolescent psychological well-being in Indonesia","volume":"7","author":[{"family":"Rohmatillah","given":"Nely"},{"family":"Qomaruddin","given":"Qomaruddin"},{"family":"Ahmad","given":"Nur Fatih"},{"family":"Fadhilah","given":"Nilna Fatih"}],"issued":{"date-parts":[["2024",1,29]]}}}],"schema":"https://github.com/citation-style-language/schema/raw/master/csl-citation.json"} </w:instrText>
      </w:r>
      <w:r w:rsidRPr="00DD2D90">
        <w:rPr>
          <w:rFonts w:ascii="Times New Roman" w:eastAsia="Times New Roman" w:hAnsi="Times New Roman" w:cs="Times New Roman"/>
          <w:sz w:val="24"/>
          <w:szCs w:val="24"/>
          <w:lang w:val="en-US"/>
        </w:rPr>
        <w:fldChar w:fldCharType="separate"/>
      </w:r>
      <w:r w:rsidRPr="00DD2D90">
        <w:rPr>
          <w:rFonts w:ascii="Times New Roman" w:eastAsia="Times New Roman" w:hAnsi="Times New Roman" w:cs="Times New Roman"/>
          <w:sz w:val="24"/>
          <w:szCs w:val="24"/>
          <w:lang w:val="en-US"/>
        </w:rPr>
        <w:t>(McLaughlin et al., 2019; Rohmatillah et al., 2024)</w:t>
      </w:r>
      <w:r w:rsidRPr="00DD2D90">
        <w:rPr>
          <w:rFonts w:ascii="Times New Roman" w:eastAsia="Times New Roman" w:hAnsi="Times New Roman" w:cs="Times New Roman"/>
          <w:sz w:val="24"/>
          <w:szCs w:val="24"/>
        </w:rPr>
        <w:fldChar w:fldCharType="end"/>
      </w:r>
      <w:r w:rsidRPr="00DD2D90">
        <w:rPr>
          <w:rFonts w:ascii="Times New Roman" w:eastAsia="Times New Roman" w:hAnsi="Times New Roman" w:cs="Times New Roman"/>
          <w:sz w:val="24"/>
          <w:szCs w:val="24"/>
          <w:lang w:val="en-US"/>
        </w:rPr>
        <w:t>.</w:t>
      </w:r>
    </w:p>
    <w:p w14:paraId="1BA72655" w14:textId="77777777" w:rsidR="00DD2D90" w:rsidRPr="00DD2D90" w:rsidRDefault="00DD2D90" w:rsidP="00DD2D90">
      <w:pPr>
        <w:spacing w:after="0" w:line="360" w:lineRule="auto"/>
        <w:jc w:val="both"/>
        <w:rPr>
          <w:rFonts w:ascii="Times New Roman" w:eastAsia="Times New Roman" w:hAnsi="Times New Roman" w:cs="Times New Roman"/>
          <w:b/>
          <w:bCs/>
          <w:i/>
          <w:iCs/>
          <w:sz w:val="24"/>
          <w:szCs w:val="24"/>
          <w:lang w:val="en-US"/>
        </w:rPr>
      </w:pPr>
      <w:r w:rsidRPr="00DD2D90">
        <w:rPr>
          <w:rFonts w:ascii="Times New Roman" w:eastAsia="Times New Roman" w:hAnsi="Times New Roman" w:cs="Times New Roman"/>
          <w:b/>
          <w:bCs/>
          <w:i/>
          <w:iCs/>
          <w:sz w:val="24"/>
          <w:szCs w:val="24"/>
          <w:lang w:val="en-US"/>
        </w:rPr>
        <w:t>Reframing the Role of Schools and Guidance and Counselling Services</w:t>
      </w:r>
    </w:p>
    <w:p w14:paraId="76764399" w14:textId="77777777" w:rsidR="00DD2D90" w:rsidRPr="00DD2D90" w:rsidRDefault="00DD2D90" w:rsidP="00DD2D90">
      <w:pPr>
        <w:spacing w:after="0" w:line="360" w:lineRule="auto"/>
        <w:ind w:firstLine="567"/>
        <w:jc w:val="both"/>
        <w:rPr>
          <w:rFonts w:ascii="Times New Roman" w:eastAsia="Times New Roman" w:hAnsi="Times New Roman" w:cs="Times New Roman"/>
          <w:sz w:val="24"/>
          <w:szCs w:val="24"/>
          <w:lang w:val="en-US"/>
        </w:rPr>
      </w:pPr>
      <w:r w:rsidRPr="00DD2D90">
        <w:rPr>
          <w:rFonts w:ascii="Times New Roman" w:eastAsia="Times New Roman" w:hAnsi="Times New Roman" w:cs="Times New Roman"/>
          <w:sz w:val="24"/>
          <w:szCs w:val="24"/>
          <w:lang w:val="en-US"/>
        </w:rPr>
        <w:t>The findings further indicate that schools play a pivotal yet underutilized role in supporting students’ emotional development. Although guidance and counseling services were formally available, emotional support practices remained largely reactive, addressing students’ difficulties only after they escalated into behavioral or disciplinary issues.</w:t>
      </w:r>
    </w:p>
    <w:p w14:paraId="320C31AE" w14:textId="77777777" w:rsidR="00DD2D90" w:rsidRPr="00DD2D90" w:rsidRDefault="00DD2D90" w:rsidP="00DD2D90">
      <w:pPr>
        <w:spacing w:after="0" w:line="360" w:lineRule="auto"/>
        <w:ind w:firstLine="567"/>
        <w:jc w:val="both"/>
        <w:rPr>
          <w:rFonts w:ascii="Times New Roman" w:eastAsia="Times New Roman" w:hAnsi="Times New Roman" w:cs="Times New Roman"/>
          <w:sz w:val="24"/>
          <w:szCs w:val="24"/>
          <w:lang w:val="en-US"/>
        </w:rPr>
      </w:pPr>
      <w:r w:rsidRPr="00DD2D90">
        <w:rPr>
          <w:rFonts w:ascii="Times New Roman" w:eastAsia="Times New Roman" w:hAnsi="Times New Roman" w:cs="Times New Roman"/>
          <w:sz w:val="24"/>
          <w:szCs w:val="24"/>
          <w:lang w:val="en-US"/>
        </w:rPr>
        <w:t>A homeroom teacher reflected on this limitation:</w:t>
      </w:r>
    </w:p>
    <w:p w14:paraId="18DAA5AC" w14:textId="77777777" w:rsidR="00DD2D90" w:rsidRPr="00DD2D90" w:rsidRDefault="00DD2D90" w:rsidP="00DD2D90">
      <w:pPr>
        <w:spacing w:after="0" w:line="360" w:lineRule="auto"/>
        <w:ind w:firstLine="567"/>
        <w:jc w:val="both"/>
        <w:rPr>
          <w:rFonts w:ascii="Times New Roman" w:eastAsia="Times New Roman" w:hAnsi="Times New Roman" w:cs="Times New Roman"/>
          <w:sz w:val="24"/>
          <w:szCs w:val="24"/>
          <w:lang w:val="en-US"/>
        </w:rPr>
      </w:pPr>
      <w:r w:rsidRPr="00DD2D90">
        <w:rPr>
          <w:rFonts w:ascii="Times New Roman" w:eastAsia="Times New Roman" w:hAnsi="Times New Roman" w:cs="Times New Roman"/>
          <w:sz w:val="24"/>
          <w:szCs w:val="24"/>
          <w:lang w:val="en-US"/>
        </w:rPr>
        <w:t>“We know that students’ emotions often go up and down, but teachers have limited time. Usually, we respond when a problem has already happened.”</w:t>
      </w:r>
    </w:p>
    <w:p w14:paraId="17127993" w14:textId="77777777" w:rsidR="00DD2D90" w:rsidRPr="00DD2D90" w:rsidRDefault="00DD2D90" w:rsidP="00DD2D90">
      <w:pPr>
        <w:spacing w:after="0" w:line="360" w:lineRule="auto"/>
        <w:ind w:firstLine="567"/>
        <w:jc w:val="both"/>
        <w:rPr>
          <w:rFonts w:ascii="Times New Roman" w:eastAsia="Times New Roman" w:hAnsi="Times New Roman" w:cs="Times New Roman"/>
          <w:sz w:val="24"/>
          <w:szCs w:val="24"/>
          <w:lang w:val="en-US"/>
        </w:rPr>
      </w:pPr>
      <w:r w:rsidRPr="00DD2D90">
        <w:rPr>
          <w:rFonts w:ascii="Times New Roman" w:eastAsia="Times New Roman" w:hAnsi="Times New Roman" w:cs="Times New Roman"/>
          <w:i/>
          <w:iCs/>
          <w:sz w:val="24"/>
          <w:szCs w:val="24"/>
          <w:lang w:val="en-US"/>
        </w:rPr>
        <w:t>(Homeroom Teacher)</w:t>
      </w:r>
    </w:p>
    <w:p w14:paraId="3ACEB7D2" w14:textId="77777777" w:rsidR="00DD2D90" w:rsidRPr="00DD2D90" w:rsidRDefault="00DD2D90" w:rsidP="00DD2D90">
      <w:pPr>
        <w:spacing w:after="0" w:line="360" w:lineRule="auto"/>
        <w:ind w:firstLine="567"/>
        <w:jc w:val="both"/>
        <w:rPr>
          <w:rFonts w:ascii="Times New Roman" w:eastAsia="Times New Roman" w:hAnsi="Times New Roman" w:cs="Times New Roman"/>
          <w:sz w:val="24"/>
          <w:szCs w:val="24"/>
          <w:lang w:val="en-US"/>
        </w:rPr>
      </w:pPr>
      <w:r w:rsidRPr="00DD2D90">
        <w:rPr>
          <w:rFonts w:ascii="Times New Roman" w:eastAsia="Times New Roman" w:hAnsi="Times New Roman" w:cs="Times New Roman"/>
          <w:sz w:val="24"/>
          <w:szCs w:val="24"/>
          <w:lang w:val="en-US"/>
        </w:rPr>
        <w:t>This reactive orientation reflects a broader institutional tendency to prioritise behavioural management over emotional development. From a guidance and counselling perspective, such an approach constrains the preventive potential of school-based emotional support and risks overlooking early signs of emotional distress.</w:t>
      </w:r>
    </w:p>
    <w:p w14:paraId="276ECEB4" w14:textId="77777777" w:rsidR="00DD2D90" w:rsidRPr="00DD2D90" w:rsidRDefault="00DD2D90" w:rsidP="00DD2D90">
      <w:pPr>
        <w:spacing w:after="0" w:line="360" w:lineRule="auto"/>
        <w:ind w:firstLine="567"/>
        <w:jc w:val="both"/>
        <w:rPr>
          <w:rFonts w:ascii="Times New Roman" w:eastAsia="Times New Roman" w:hAnsi="Times New Roman" w:cs="Times New Roman"/>
          <w:sz w:val="24"/>
          <w:szCs w:val="24"/>
          <w:lang w:val="en-US"/>
        </w:rPr>
      </w:pPr>
      <w:r w:rsidRPr="00DD2D90">
        <w:rPr>
          <w:rFonts w:ascii="Times New Roman" w:eastAsia="Times New Roman" w:hAnsi="Times New Roman" w:cs="Times New Roman"/>
          <w:sz w:val="24"/>
          <w:szCs w:val="24"/>
          <w:lang w:val="en-US"/>
        </w:rPr>
        <w:t>Guidance and counselling teachers similarly acknowledged that emotional guidance had not yet been systematically integrated into daily school practices:</w:t>
      </w:r>
    </w:p>
    <w:p w14:paraId="60FC99F1" w14:textId="77777777" w:rsidR="00DD2D90" w:rsidRPr="00DD2D90" w:rsidRDefault="00DD2D90" w:rsidP="00DD2D90">
      <w:pPr>
        <w:spacing w:after="0" w:line="360" w:lineRule="auto"/>
        <w:ind w:firstLine="567"/>
        <w:jc w:val="both"/>
        <w:rPr>
          <w:rFonts w:ascii="Times New Roman" w:eastAsia="Times New Roman" w:hAnsi="Times New Roman" w:cs="Times New Roman"/>
          <w:sz w:val="24"/>
          <w:szCs w:val="24"/>
          <w:lang w:val="en-US"/>
        </w:rPr>
      </w:pPr>
      <w:r w:rsidRPr="00DD2D90">
        <w:rPr>
          <w:rFonts w:ascii="Times New Roman" w:eastAsia="Times New Roman" w:hAnsi="Times New Roman" w:cs="Times New Roman"/>
          <w:sz w:val="24"/>
          <w:szCs w:val="24"/>
          <w:lang w:val="en-US"/>
        </w:rPr>
        <w:lastRenderedPageBreak/>
        <w:t>“There is counselling, but not all students feel comfortable coming. Emotional guidance is still separate from everyday classroom activities.”</w:t>
      </w:r>
    </w:p>
    <w:p w14:paraId="55AAA87D" w14:textId="77777777" w:rsidR="00DD2D90" w:rsidRPr="00DD2D90" w:rsidRDefault="00DD2D90" w:rsidP="00DD2D90">
      <w:pPr>
        <w:spacing w:after="0" w:line="360" w:lineRule="auto"/>
        <w:ind w:firstLine="567"/>
        <w:jc w:val="both"/>
        <w:rPr>
          <w:rFonts w:ascii="Times New Roman" w:eastAsia="Times New Roman" w:hAnsi="Times New Roman" w:cs="Times New Roman"/>
          <w:sz w:val="24"/>
          <w:szCs w:val="24"/>
          <w:lang w:val="en-US"/>
        </w:rPr>
      </w:pPr>
      <w:r w:rsidRPr="00DD2D90">
        <w:rPr>
          <w:rFonts w:ascii="Times New Roman" w:eastAsia="Times New Roman" w:hAnsi="Times New Roman" w:cs="Times New Roman"/>
          <w:i/>
          <w:iCs/>
          <w:sz w:val="24"/>
          <w:szCs w:val="24"/>
          <w:lang w:val="en-US"/>
        </w:rPr>
        <w:t>(Guidance and Counselling Teacher)</w:t>
      </w:r>
    </w:p>
    <w:p w14:paraId="0F0E9982" w14:textId="77777777" w:rsidR="00DD2D90" w:rsidRPr="00DD2D90" w:rsidRDefault="00DD2D90" w:rsidP="00DD2D90">
      <w:pPr>
        <w:spacing w:after="0" w:line="360" w:lineRule="auto"/>
        <w:ind w:firstLine="567"/>
        <w:jc w:val="both"/>
        <w:rPr>
          <w:rFonts w:ascii="Times New Roman" w:eastAsia="Times New Roman" w:hAnsi="Times New Roman" w:cs="Times New Roman"/>
          <w:sz w:val="24"/>
          <w:szCs w:val="24"/>
          <w:lang w:val="en-US"/>
        </w:rPr>
      </w:pPr>
      <w:r w:rsidRPr="00DD2D90">
        <w:rPr>
          <w:rFonts w:ascii="Times New Roman" w:eastAsia="Times New Roman" w:hAnsi="Times New Roman" w:cs="Times New Roman"/>
          <w:sz w:val="24"/>
          <w:szCs w:val="24"/>
          <w:lang w:val="en-US"/>
        </w:rPr>
        <w:t xml:space="preserve">These findings align with international evidence indicating that school-based psychosocial services are often framed as responses to behavioral problems rather than as developmental and preventive systems </w:t>
      </w:r>
      <w:r w:rsidRPr="00DD2D90">
        <w:rPr>
          <w:rFonts w:ascii="Times New Roman" w:eastAsia="Times New Roman" w:hAnsi="Times New Roman" w:cs="Times New Roman"/>
          <w:sz w:val="24"/>
          <w:szCs w:val="24"/>
          <w:lang w:val="en-US"/>
        </w:rPr>
        <w:fldChar w:fldCharType="begin"/>
      </w:r>
      <w:r w:rsidRPr="00DD2D90">
        <w:rPr>
          <w:rFonts w:ascii="Times New Roman" w:eastAsia="Times New Roman" w:hAnsi="Times New Roman" w:cs="Times New Roman"/>
          <w:sz w:val="24"/>
          <w:szCs w:val="24"/>
          <w:lang w:val="en-US"/>
        </w:rPr>
        <w:instrText xml:space="preserve"> ADDIN ZOTERO_ITEM CSL_CITATION {"citationID":"keaOnjwv","properties":{"formattedCitation":"(OECD, 2021; UNESCO, 2023)","plainCitation":"(OECD, 2021; UNESCO, 2023)","noteIndex":0},"citationItems":[{"id":101,"uris":["http://zotero.org/users/local/YszQGxaT/items/GECFGTJN"],"itemData":{"id":101,"type":"webpage","title":"Global education monitoring report, 2023: technology in education: a tool on whose terms? - UNESCO Digital Library","URL":"https://unesdoc.unesco.org/ark:/48223/pf0000385723","author":[{"family":"OECD","given":"UNESCO"}],"accessed":{"date-parts":[["2025",12,19]]},"issued":{"date-parts":[["2021"]],"season":"2023"}}},{"id":165,"uris":["http://zotero.org/users/local/YszQGxaT/items/MHK7RSQQ"],"itemData":{"id":165,"type":"webpage","title":"Global education monitoring report, 2023: technology in education: a tool on whose terms? - UNESCO Digital Library","URL":"https://unesdoc.unesco.org/ark:/48223/pf0000385723","author":[{"family":"UNESCO","given":""}],"accessed":{"date-parts":[["2025",12,23]]},"issued":{"date-parts":[["2023"]]}}}],"schema":"https://github.com/citation-style-language/schema/raw/master/csl-citation.json"} </w:instrText>
      </w:r>
      <w:r w:rsidRPr="00DD2D90">
        <w:rPr>
          <w:rFonts w:ascii="Times New Roman" w:eastAsia="Times New Roman" w:hAnsi="Times New Roman" w:cs="Times New Roman"/>
          <w:sz w:val="24"/>
          <w:szCs w:val="24"/>
          <w:lang w:val="en-US"/>
        </w:rPr>
        <w:fldChar w:fldCharType="separate"/>
      </w:r>
      <w:r w:rsidRPr="00DD2D90">
        <w:rPr>
          <w:rFonts w:ascii="Times New Roman" w:eastAsia="Times New Roman" w:hAnsi="Times New Roman" w:cs="Times New Roman"/>
          <w:sz w:val="24"/>
          <w:szCs w:val="24"/>
          <w:lang w:val="en-US"/>
        </w:rPr>
        <w:t>(OECD, 2021; UNESCO, 2023)</w:t>
      </w:r>
      <w:r w:rsidRPr="00DD2D90">
        <w:rPr>
          <w:rFonts w:ascii="Times New Roman" w:eastAsia="Times New Roman" w:hAnsi="Times New Roman" w:cs="Times New Roman"/>
          <w:sz w:val="24"/>
          <w:szCs w:val="24"/>
        </w:rPr>
        <w:fldChar w:fldCharType="end"/>
      </w:r>
      <w:r w:rsidRPr="00DD2D90">
        <w:rPr>
          <w:rFonts w:ascii="Times New Roman" w:eastAsia="Times New Roman" w:hAnsi="Times New Roman" w:cs="Times New Roman"/>
          <w:sz w:val="24"/>
          <w:szCs w:val="24"/>
          <w:lang w:val="en-US"/>
        </w:rPr>
        <w:t xml:space="preserve">. Global research on Social and Emotional Learning (SEL) shows that when emotional development is embedded in routine pedagogical practices, students show improved emotional regulation and social competence </w:t>
      </w:r>
      <w:r w:rsidRPr="00DD2D90">
        <w:rPr>
          <w:rFonts w:ascii="Times New Roman" w:eastAsia="Times New Roman" w:hAnsi="Times New Roman" w:cs="Times New Roman"/>
          <w:sz w:val="24"/>
          <w:szCs w:val="24"/>
          <w:lang w:val="en-US"/>
        </w:rPr>
        <w:fldChar w:fldCharType="begin"/>
      </w:r>
      <w:r w:rsidRPr="00DD2D90">
        <w:rPr>
          <w:rFonts w:ascii="Times New Roman" w:eastAsia="Times New Roman" w:hAnsi="Times New Roman" w:cs="Times New Roman"/>
          <w:sz w:val="24"/>
          <w:szCs w:val="24"/>
          <w:lang w:val="en-US"/>
        </w:rPr>
        <w:instrText xml:space="preserve"> ADDIN ZOTERO_ITEM CSL_CITATION {"citationID":"DVV0znO6","properties":{"formattedCitation":"(Durlak et al., 2011; Jones et al., 2019)","plainCitation":"(Durlak et al., 2011; Jones et al., 2019)","noteIndex":0},"citationItems":[{"id":99,"uris":["http://zotero.org/users/local/YszQGxaT/items/69HZZPTS"],"itemData":{"id":99,"type":"article-journal","abstract":"This article presents findings from a meta-analysis of 213 school-based, universal social and emotional learning (SEL) programs involving 270,034 kindergarten through high school students. Compared to controls, SEL participants demonstrated significantly improved social and emotional skills, attitudes, behavior, and academic performance that reflected an 11-percentile-point gain in achievement. School teaching staff successfully conducted SEL programs. The use of 4 recommended practices for developing skills and the presence of implementation problems moderated program outcomes. The findings add to the growing empirical evidence regarding the positive impact of SEL programs. Policy makers, educators, and the public can contribute to healthy development of children by supporting the incorporation of evidence-based SEL programming into standard educational practice.","container-title":"Child Development","DOI":"10.1111/j.1467-8624.2010.01564.x","ISSN":"1467-8624","issue":"1","language":"en","license":"© 2011 The Authors. Child Development © 2011 Society for Research in Child Development, Inc.","note":"_eprint: https://srcd.onlinelibrary.wiley.com/doi/pdf/10.1111/j.1467-8624.2010.01564.x","page":"405-432","source":"Wiley Online Library","title":"The Impact of Enhancing Students’ Social and Emotional Learning: A Meta-Analysis of School-Based Universal Interventions","title-short":"The Impact of Enhancing Students’ Social and Emotional Learning","volume":"82","author":[{"family":"Durlak","given":"Joseph A."},{"family":"Weissberg","given":"Roger P."},{"family":"Dymnicki","given":"Allison B."},{"family":"Taylor","given":"Rebecca D."},{"family":"Schellinger","given":"Kriston B."}],"issued":{"date-parts":[["2011"]]}}},{"id":137,"uris":["http://zotero.org/users/local/YszQGxaT/items/C44I83NE"],"itemData":{"id":137,"type":"article-journal","language":"en","source":"Zotero","title":"What is the Same and What is Different?","author":[{"family":"Jones","given":"Stephanie"},{"family":"Bailey","given":"Rebecca"},{"family":"Brush","given":"Katharine"},{"family":"Nelson","given":"Bryan"},{"family":"Barnes","given":"Sophie"}],"issued":{"date-parts":[["2019"]]}}}],"schema":"https://github.com/citation-style-language/schema/raw/master/csl-citation.json"} </w:instrText>
      </w:r>
      <w:r w:rsidRPr="00DD2D90">
        <w:rPr>
          <w:rFonts w:ascii="Times New Roman" w:eastAsia="Times New Roman" w:hAnsi="Times New Roman" w:cs="Times New Roman"/>
          <w:sz w:val="24"/>
          <w:szCs w:val="24"/>
          <w:lang w:val="en-US"/>
        </w:rPr>
        <w:fldChar w:fldCharType="separate"/>
      </w:r>
      <w:r w:rsidRPr="00DD2D90">
        <w:rPr>
          <w:rFonts w:ascii="Times New Roman" w:eastAsia="Times New Roman" w:hAnsi="Times New Roman" w:cs="Times New Roman"/>
          <w:sz w:val="24"/>
          <w:szCs w:val="24"/>
          <w:lang w:val="en-US"/>
        </w:rPr>
        <w:t>(Durlak et al., 2011; Jones et al., 2019)</w:t>
      </w:r>
      <w:r w:rsidRPr="00DD2D90">
        <w:rPr>
          <w:rFonts w:ascii="Times New Roman" w:eastAsia="Times New Roman" w:hAnsi="Times New Roman" w:cs="Times New Roman"/>
          <w:sz w:val="24"/>
          <w:szCs w:val="24"/>
        </w:rPr>
        <w:fldChar w:fldCharType="end"/>
      </w:r>
      <w:r w:rsidRPr="00DD2D90">
        <w:rPr>
          <w:rFonts w:ascii="Times New Roman" w:eastAsia="Times New Roman" w:hAnsi="Times New Roman" w:cs="Times New Roman"/>
          <w:sz w:val="24"/>
          <w:szCs w:val="24"/>
          <w:lang w:val="en-US"/>
        </w:rPr>
        <w:t>.</w:t>
      </w:r>
    </w:p>
    <w:p w14:paraId="7E3B328D" w14:textId="4C71B669" w:rsidR="00DB4057" w:rsidRDefault="00DD2D90" w:rsidP="00DD2D90">
      <w:pPr>
        <w:spacing w:after="0" w:line="360" w:lineRule="auto"/>
        <w:ind w:firstLine="567"/>
        <w:jc w:val="both"/>
        <w:rPr>
          <w:rFonts w:ascii="Times New Roman" w:eastAsia="Times New Roman" w:hAnsi="Times New Roman" w:cs="Times New Roman"/>
          <w:sz w:val="24"/>
          <w:szCs w:val="24"/>
        </w:rPr>
      </w:pPr>
      <w:r w:rsidRPr="00DD2D90">
        <w:rPr>
          <w:rFonts w:ascii="Times New Roman" w:eastAsia="Times New Roman" w:hAnsi="Times New Roman" w:cs="Times New Roman"/>
          <w:sz w:val="24"/>
          <w:szCs w:val="24"/>
          <w:lang w:val="en-US"/>
        </w:rPr>
        <w:t>Importantly, the present study highlights that strengthening emotional support in schools does not necessarily require extensive additional resources. Instead, it requires a paradigm shift in how emotional challenges are conceptualized, from individual problems requiring remediation to shared developmental responsibilities embedded in everyday school interactions. In resource-constrained public school settings, such a relational and preventive orientation may be particularly crucial for sustaining students’ emotional well-being and fostering supportive learning environments.</w:t>
      </w:r>
    </w:p>
    <w:p w14:paraId="416FC4FE" w14:textId="77777777" w:rsidR="00DF314E" w:rsidRDefault="00DF314E" w:rsidP="00DD2D90">
      <w:pPr>
        <w:spacing w:after="0" w:line="360" w:lineRule="auto"/>
        <w:ind w:firstLine="567"/>
        <w:jc w:val="both"/>
        <w:rPr>
          <w:rFonts w:ascii="Times New Roman" w:eastAsia="Times New Roman" w:hAnsi="Times New Roman" w:cs="Times New Roman"/>
          <w:sz w:val="24"/>
          <w:szCs w:val="24"/>
        </w:rPr>
      </w:pPr>
    </w:p>
    <w:p w14:paraId="400F5714" w14:textId="4D395387" w:rsidR="00DB4057" w:rsidRDefault="00DD2D90" w:rsidP="00DD2D90">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lang w:val="en-US"/>
        </w:rPr>
        <w:t>Conclusion</w:t>
      </w:r>
    </w:p>
    <w:p w14:paraId="0DCCA31B" w14:textId="77777777" w:rsidR="00DF314E" w:rsidRPr="00DF314E" w:rsidRDefault="00DF314E" w:rsidP="00DF314E">
      <w:pPr>
        <w:spacing w:after="0" w:line="360" w:lineRule="auto"/>
        <w:ind w:firstLine="567"/>
        <w:jc w:val="both"/>
        <w:rPr>
          <w:rFonts w:ascii="Times New Roman" w:eastAsia="Times New Roman" w:hAnsi="Times New Roman" w:cs="Times New Roman"/>
          <w:sz w:val="24"/>
          <w:szCs w:val="24"/>
          <w:lang w:val="en-US"/>
        </w:rPr>
      </w:pPr>
      <w:r w:rsidRPr="00DF314E">
        <w:rPr>
          <w:rFonts w:ascii="Times New Roman" w:eastAsia="Times New Roman" w:hAnsi="Times New Roman" w:cs="Times New Roman"/>
          <w:sz w:val="24"/>
          <w:szCs w:val="24"/>
          <w:lang w:val="en-US"/>
        </w:rPr>
        <w:t>This study demonstrates that emotional challenges among junior secondary school students during early adolescence constitute a complex, dynamic, and deeply contextual developmental process. Drawing on a qualitative case study in a public-school setting, the findings reveal that students experience emotional development as a fluctuating, often unpredictable process shaped by the interaction of internal developmental processes and external relational environments. Emotional volatility, impulsive reactions, and difficulties in emotion regulation emerged not as isolated psychological issues but as relationally embedded experiences situated within peer interactions, family dynamics, and institutional practices within schools.</w:t>
      </w:r>
    </w:p>
    <w:p w14:paraId="7E99EA98" w14:textId="77777777" w:rsidR="00DF314E" w:rsidRPr="00DF314E" w:rsidRDefault="00DF314E" w:rsidP="00DF314E">
      <w:pPr>
        <w:spacing w:after="0" w:line="360" w:lineRule="auto"/>
        <w:ind w:firstLine="567"/>
        <w:jc w:val="both"/>
        <w:rPr>
          <w:rFonts w:ascii="Times New Roman" w:eastAsia="Times New Roman" w:hAnsi="Times New Roman" w:cs="Times New Roman"/>
          <w:sz w:val="24"/>
          <w:szCs w:val="24"/>
          <w:lang w:val="en-US"/>
        </w:rPr>
      </w:pPr>
      <w:r w:rsidRPr="00DF314E">
        <w:rPr>
          <w:rFonts w:ascii="Times New Roman" w:eastAsia="Times New Roman" w:hAnsi="Times New Roman" w:cs="Times New Roman"/>
          <w:sz w:val="24"/>
          <w:szCs w:val="24"/>
          <w:lang w:val="en-US"/>
        </w:rPr>
        <w:t xml:space="preserve">Internally, students’ emotional challenges were closely intertwined with identity confusion and still-developing emotion regulation capacities characteristic of the </w:t>
      </w:r>
      <w:r w:rsidRPr="00DF314E">
        <w:rPr>
          <w:rFonts w:ascii="Times New Roman" w:eastAsia="Times New Roman" w:hAnsi="Times New Roman" w:cs="Times New Roman"/>
          <w:i/>
          <w:iCs/>
          <w:sz w:val="24"/>
          <w:szCs w:val="24"/>
          <w:lang w:val="en-US"/>
        </w:rPr>
        <w:t>identity versus role confusion</w:t>
      </w:r>
      <w:r w:rsidRPr="00DF314E">
        <w:rPr>
          <w:rFonts w:ascii="Times New Roman" w:eastAsia="Times New Roman" w:hAnsi="Times New Roman" w:cs="Times New Roman"/>
          <w:sz w:val="24"/>
          <w:szCs w:val="24"/>
          <w:lang w:val="en-US"/>
        </w:rPr>
        <w:t xml:space="preserve"> stage. Identity formation was experienced as an emotionally charged, socially mediated process, particularly in a collectivistic context where peer recognition and group belonging played a central role. These findings extend dominant developmental theories by </w:t>
      </w:r>
      <w:r w:rsidRPr="00DF314E">
        <w:rPr>
          <w:rFonts w:ascii="Times New Roman" w:eastAsia="Times New Roman" w:hAnsi="Times New Roman" w:cs="Times New Roman"/>
          <w:sz w:val="24"/>
          <w:szCs w:val="24"/>
          <w:lang w:val="en-US"/>
        </w:rPr>
        <w:lastRenderedPageBreak/>
        <w:t>highlighting the emotional labor involved in identity work and by demonstrating that identity-related distress is shaped by relational expectations rather than solely by individual psychological processes.</w:t>
      </w:r>
    </w:p>
    <w:p w14:paraId="71C9B45D" w14:textId="77777777" w:rsidR="00DF314E" w:rsidRPr="00DF314E" w:rsidRDefault="00DF314E" w:rsidP="00DF314E">
      <w:pPr>
        <w:spacing w:after="0" w:line="360" w:lineRule="auto"/>
        <w:ind w:firstLine="567"/>
        <w:jc w:val="both"/>
        <w:rPr>
          <w:rFonts w:ascii="Times New Roman" w:eastAsia="Times New Roman" w:hAnsi="Times New Roman" w:cs="Times New Roman"/>
          <w:sz w:val="24"/>
          <w:szCs w:val="24"/>
          <w:lang w:val="en-US"/>
        </w:rPr>
      </w:pPr>
      <w:r w:rsidRPr="00DF314E">
        <w:rPr>
          <w:rFonts w:ascii="Times New Roman" w:eastAsia="Times New Roman" w:hAnsi="Times New Roman" w:cs="Times New Roman"/>
          <w:sz w:val="24"/>
          <w:szCs w:val="24"/>
          <w:lang w:val="en-US"/>
        </w:rPr>
        <w:t>Externally, family emotional climate and peer relationships were critical determinants of students’ emotional resilience or vulnerability. Supportive family communication created a protective space for emotional reflection and regulation, whereas emotional distance within the family heightened students’ susceptibility to stress and internalized distress. Peer interactions further intensified these dynamics, with negative social experiences compounding emotional vulnerability, especially in the absence of adequate familial or institutional support. Together, these findings reinforce ecological perspectives that conceptualize adolescent emotional development as the outcome of layered and interacting social systems.</w:t>
      </w:r>
    </w:p>
    <w:p w14:paraId="62194A65" w14:textId="77777777" w:rsidR="00DF314E" w:rsidRPr="00DF314E" w:rsidRDefault="00DF314E" w:rsidP="00DF314E">
      <w:pPr>
        <w:spacing w:after="0" w:line="360" w:lineRule="auto"/>
        <w:ind w:firstLine="567"/>
        <w:jc w:val="both"/>
        <w:rPr>
          <w:rFonts w:ascii="Times New Roman" w:eastAsia="Times New Roman" w:hAnsi="Times New Roman" w:cs="Times New Roman"/>
          <w:sz w:val="24"/>
          <w:szCs w:val="24"/>
          <w:lang w:val="en-US"/>
        </w:rPr>
      </w:pPr>
      <w:r w:rsidRPr="00DF314E">
        <w:rPr>
          <w:rFonts w:ascii="Times New Roman" w:eastAsia="Times New Roman" w:hAnsi="Times New Roman" w:cs="Times New Roman"/>
          <w:sz w:val="24"/>
          <w:szCs w:val="24"/>
          <w:lang w:val="en-US"/>
        </w:rPr>
        <w:t>The study also highlights essential implications for school-based guidance and counseling practices. Although counseling services were formally available, emotional support within the school remained largely reactive, focusing on behavioral incidents rather than preventive and developmental emotional guidance. This reactive orientation limits schools’ capacity to address emotional challenges early and systematically. The findings underscore the need to reframe guidance and counseling as an integral component of everyday educational practice, embedded in classroom interactions, teacher–student relationships, and school culture. Integrating principles of emotional development and regulation into routine pedagogical practices, rather than confining them to specialized interventions, offers a promising pathway for strengthening students’ emotional well-being, particularly in resource-constrained public-school contexts.</w:t>
      </w:r>
    </w:p>
    <w:p w14:paraId="7F47F335" w14:textId="77777777" w:rsidR="00DF314E" w:rsidRPr="00DF314E" w:rsidRDefault="00DF314E" w:rsidP="00DF314E">
      <w:pPr>
        <w:spacing w:after="0" w:line="360" w:lineRule="auto"/>
        <w:ind w:firstLine="567"/>
        <w:jc w:val="both"/>
        <w:rPr>
          <w:rFonts w:ascii="Times New Roman" w:eastAsia="Times New Roman" w:hAnsi="Times New Roman" w:cs="Times New Roman"/>
          <w:sz w:val="24"/>
          <w:szCs w:val="24"/>
          <w:lang w:val="en-US"/>
        </w:rPr>
      </w:pPr>
      <w:r w:rsidRPr="00DF314E">
        <w:rPr>
          <w:rFonts w:ascii="Times New Roman" w:eastAsia="Times New Roman" w:hAnsi="Times New Roman" w:cs="Times New Roman"/>
          <w:sz w:val="24"/>
          <w:szCs w:val="24"/>
          <w:lang w:val="en-US"/>
        </w:rPr>
        <w:t>This study contributes to the literature in educational psychology and guidance and counseling by providing a contextually grounded qualitative account of early adolescents’ emotional challenges in a developing-country setting that remains underrepresented in international research. By foregrounding students’ lived emotional experiences and integrating perspectives from students, teachers, counselors, and families, the study advances a more holistic understanding of emotional development that bridges theory, practice, and context.</w:t>
      </w:r>
    </w:p>
    <w:p w14:paraId="064A3563" w14:textId="77777777" w:rsidR="00DF314E" w:rsidRPr="00DF314E" w:rsidRDefault="00DF314E" w:rsidP="00DF314E">
      <w:pPr>
        <w:spacing w:after="0" w:line="360" w:lineRule="auto"/>
        <w:ind w:firstLine="567"/>
        <w:jc w:val="both"/>
        <w:rPr>
          <w:rFonts w:ascii="Times New Roman" w:eastAsia="Times New Roman" w:hAnsi="Times New Roman" w:cs="Times New Roman"/>
          <w:sz w:val="24"/>
          <w:szCs w:val="24"/>
          <w:lang w:val="en-US"/>
        </w:rPr>
      </w:pPr>
      <w:r w:rsidRPr="00DF314E">
        <w:rPr>
          <w:rFonts w:ascii="Times New Roman" w:eastAsia="Times New Roman" w:hAnsi="Times New Roman" w:cs="Times New Roman"/>
          <w:sz w:val="24"/>
          <w:szCs w:val="24"/>
          <w:lang w:val="en-US"/>
        </w:rPr>
        <w:t xml:space="preserve">Several limitations should be acknowledged. As a single-case qualitative study, the findings are not intended for statistical generalization, and the emotional dynamics identified are shaped by the specific social, cultural, and institutional context of the school studied. The data also relied primarily on self-reported narratives and observational interpretations, which may be influenced by participants’ openness and researchers’ interpretive lenses. In addition, </w:t>
      </w:r>
      <w:r w:rsidRPr="00DF314E">
        <w:rPr>
          <w:rFonts w:ascii="Times New Roman" w:eastAsia="Times New Roman" w:hAnsi="Times New Roman" w:cs="Times New Roman"/>
          <w:sz w:val="24"/>
          <w:szCs w:val="24"/>
          <w:lang w:val="en-US"/>
        </w:rPr>
        <w:lastRenderedPageBreak/>
        <w:t>the study did not examine emotional development longitudinally or explore variations across gender, socioeconomic background, or academic achievement.</w:t>
      </w:r>
    </w:p>
    <w:p w14:paraId="4FA2E042" w14:textId="14EFD686" w:rsidR="00DB4057" w:rsidRDefault="00DF314E" w:rsidP="00DF314E">
      <w:pPr>
        <w:spacing w:after="0" w:line="360" w:lineRule="auto"/>
        <w:ind w:firstLine="567"/>
        <w:jc w:val="both"/>
        <w:rPr>
          <w:rFonts w:ascii="Times New Roman" w:eastAsia="Times New Roman" w:hAnsi="Times New Roman" w:cs="Times New Roman"/>
          <w:sz w:val="24"/>
          <w:szCs w:val="24"/>
        </w:rPr>
      </w:pPr>
      <w:r w:rsidRPr="00DF314E">
        <w:rPr>
          <w:rFonts w:ascii="Times New Roman" w:eastAsia="Times New Roman" w:hAnsi="Times New Roman" w:cs="Times New Roman"/>
          <w:sz w:val="24"/>
          <w:szCs w:val="24"/>
          <w:lang w:val="en-US"/>
        </w:rPr>
        <w:t>Future research could build on these findings by adopting multi-site or comparative designs to examine emotional development across diverse school contexts. Longitudinal studies would be particularly valuable for tracing changes in identity formation and emotion regulation over time. Further research integrating qualitative insights with quantitative measures of emotional regulation, school climate, or counseling outcomes may also strengthen the evidence base for designing contextually responsive emotional support interventions. Importantly, intervention-oriented studies examining the adaptation of preventive, school-based emotional development programs within public school settings in developing countries are needed to translate empirical insights into sustainable educational practice.</w:t>
      </w:r>
    </w:p>
    <w:p w14:paraId="36823319" w14:textId="77777777" w:rsidR="00DB4057" w:rsidRDefault="00DB4057">
      <w:pPr>
        <w:widowControl w:val="0"/>
        <w:spacing w:after="0" w:line="360" w:lineRule="auto"/>
        <w:ind w:firstLine="686"/>
        <w:jc w:val="both"/>
        <w:rPr>
          <w:rFonts w:ascii="Times New Roman" w:eastAsia="Times New Roman" w:hAnsi="Times New Roman" w:cs="Times New Roman"/>
          <w:sz w:val="24"/>
          <w:szCs w:val="24"/>
        </w:rPr>
      </w:pPr>
    </w:p>
    <w:p w14:paraId="3BEF07DF" w14:textId="7990D866" w:rsidR="00DB4057" w:rsidRPr="00DF314E" w:rsidRDefault="00DF314E" w:rsidP="00DF314E">
      <w:pPr>
        <w:spacing w:after="0" w:line="36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References</w:t>
      </w:r>
    </w:p>
    <w:p w14:paraId="6E2BDFA2" w14:textId="77777777" w:rsidR="00DF314E" w:rsidRPr="00992763" w:rsidRDefault="00DF314E" w:rsidP="00DF314E">
      <w:pPr>
        <w:spacing w:after="0" w:line="360" w:lineRule="auto"/>
        <w:ind w:left="567" w:hanging="567"/>
        <w:jc w:val="both"/>
        <w:rPr>
          <w:rFonts w:ascii="Times New Roman" w:eastAsia="SimSun" w:hAnsi="Times New Roman" w:cs="Times New Roman"/>
          <w:spacing w:val="-12"/>
          <w:sz w:val="24"/>
          <w:szCs w:val="28"/>
          <w:lang w:val="en-US" w:eastAsia="zh-CN"/>
        </w:rPr>
      </w:pPr>
      <w:r w:rsidRPr="00DF314E">
        <w:rPr>
          <w:rFonts w:ascii="Times New Roman" w:eastAsia="SimSun" w:hAnsi="Times New Roman" w:cs="Times New Roman"/>
          <w:lang w:val="en-US" w:eastAsia="zh-CN"/>
        </w:rPr>
        <w:fldChar w:fldCharType="begin" w:fldLock="1"/>
      </w:r>
      <w:r w:rsidRPr="00DF314E">
        <w:rPr>
          <w:rFonts w:ascii="Times New Roman" w:eastAsia="SimSun" w:hAnsi="Times New Roman" w:cs="Times New Roman"/>
          <w:lang w:val="en-US" w:eastAsia="zh-CN"/>
        </w:rPr>
        <w:instrText xml:space="preserve"> ADDIN ZOTERO_BIBL {"uncited":[],"omitted":[],"custom":[]} CSL_BIBLIOGRAPHY </w:instrText>
      </w:r>
      <w:r w:rsidRPr="00DF314E">
        <w:rPr>
          <w:rFonts w:ascii="Times New Roman" w:eastAsia="SimSun" w:hAnsi="Times New Roman" w:cs="Times New Roman"/>
          <w:lang w:val="en-US" w:eastAsia="zh-CN"/>
        </w:rPr>
        <w:fldChar w:fldCharType="separate"/>
      </w:r>
      <w:r w:rsidRPr="00DF314E">
        <w:rPr>
          <w:rFonts w:ascii="Times New Roman" w:eastAsia="SimSun" w:hAnsi="Times New Roman" w:cs="Times New Roman"/>
          <w:spacing w:val="-12"/>
          <w:sz w:val="24"/>
          <w:szCs w:val="28"/>
          <w:lang w:val="en-US" w:eastAsia="zh-CN"/>
        </w:rPr>
        <w:t>Arnett, J. (2015). Emerging Adulthood: The Winding Road from the Late Teens Through the Twenties (2nd edition).</w:t>
      </w:r>
      <w:r w:rsidRPr="00DF314E">
        <w:rPr>
          <w:rFonts w:ascii="Times New Roman" w:eastAsia="SimSun" w:hAnsi="Times New Roman" w:cs="Times New Roman"/>
          <w:i/>
          <w:iCs/>
          <w:spacing w:val="-12"/>
          <w:sz w:val="28"/>
          <w:szCs w:val="28"/>
          <w:lang w:val="en-US" w:eastAsia="zh-CN"/>
        </w:rPr>
        <w:t xml:space="preserve"> </w:t>
      </w:r>
      <w:r w:rsidRPr="00DF314E">
        <w:rPr>
          <w:rFonts w:ascii="Times New Roman" w:eastAsia="SimSun" w:hAnsi="Times New Roman" w:cs="Times New Roman"/>
          <w:i/>
          <w:iCs/>
          <w:spacing w:val="-12"/>
          <w:sz w:val="24"/>
          <w:szCs w:val="28"/>
          <w:lang w:val="en-US" w:eastAsia="zh-CN"/>
        </w:rPr>
        <w:t>Oxford University Press</w:t>
      </w:r>
      <w:r w:rsidRPr="00DF314E">
        <w:rPr>
          <w:rFonts w:ascii="Times New Roman" w:eastAsia="SimSun" w:hAnsi="Times New Roman" w:cs="Times New Roman"/>
          <w:spacing w:val="-12"/>
          <w:sz w:val="24"/>
          <w:szCs w:val="28"/>
          <w:lang w:val="en-US" w:eastAsia="zh-CN"/>
        </w:rPr>
        <w:t>. https://doi.org/10.1093/acprof:oso/9780199929382.001.0001</w:t>
      </w:r>
    </w:p>
    <w:p w14:paraId="5E6FE0C4" w14:textId="77777777" w:rsidR="00DF314E" w:rsidRPr="00DF314E" w:rsidRDefault="00DF314E" w:rsidP="00DF314E">
      <w:pPr>
        <w:spacing w:after="0" w:line="360" w:lineRule="auto"/>
        <w:ind w:left="567" w:hanging="567"/>
        <w:jc w:val="both"/>
        <w:rPr>
          <w:rFonts w:ascii="Times New Roman" w:eastAsia="SimSun" w:hAnsi="Times New Roman" w:cs="Times New Roman"/>
          <w:spacing w:val="-8"/>
          <w:sz w:val="24"/>
          <w:szCs w:val="28"/>
          <w:lang w:val="en-US" w:eastAsia="zh-CN"/>
        </w:rPr>
      </w:pPr>
      <w:r w:rsidRPr="00DF314E">
        <w:rPr>
          <w:rFonts w:ascii="Times New Roman" w:eastAsia="SimSun" w:hAnsi="Times New Roman" w:cs="Times New Roman"/>
          <w:sz w:val="24"/>
          <w:szCs w:val="28"/>
          <w:lang w:val="en-US" w:eastAsia="zh-CN"/>
        </w:rPr>
        <w:t xml:space="preserve">Braun, V., &amp; Clarke, V. (2006). Using thematic analysis in psychology. </w:t>
      </w:r>
      <w:r w:rsidRPr="00DF314E">
        <w:rPr>
          <w:rFonts w:ascii="Times New Roman" w:eastAsia="SimSun" w:hAnsi="Times New Roman" w:cs="Times New Roman"/>
          <w:i/>
          <w:iCs/>
          <w:sz w:val="24"/>
          <w:szCs w:val="28"/>
          <w:lang w:val="en-US" w:eastAsia="zh-CN"/>
        </w:rPr>
        <w:t>Qualitative Research in Psychology</w:t>
      </w:r>
      <w:r w:rsidRPr="00DF314E">
        <w:rPr>
          <w:rFonts w:ascii="Times New Roman" w:eastAsia="SimSun" w:hAnsi="Times New Roman" w:cs="Times New Roman"/>
          <w:sz w:val="24"/>
          <w:szCs w:val="28"/>
          <w:lang w:val="en-US" w:eastAsia="zh-CN"/>
        </w:rPr>
        <w:t xml:space="preserve">, </w:t>
      </w:r>
      <w:r w:rsidRPr="00DF314E">
        <w:rPr>
          <w:rFonts w:ascii="Times New Roman" w:eastAsia="SimSun" w:hAnsi="Times New Roman" w:cs="Times New Roman"/>
          <w:i/>
          <w:iCs/>
          <w:sz w:val="24"/>
          <w:szCs w:val="28"/>
          <w:lang w:val="en-US" w:eastAsia="zh-CN"/>
        </w:rPr>
        <w:t>3</w:t>
      </w:r>
      <w:r w:rsidRPr="00DF314E">
        <w:rPr>
          <w:rFonts w:ascii="Times New Roman" w:eastAsia="SimSun" w:hAnsi="Times New Roman" w:cs="Times New Roman"/>
          <w:sz w:val="24"/>
          <w:szCs w:val="28"/>
          <w:lang w:val="en-US" w:eastAsia="zh-CN"/>
        </w:rPr>
        <w:t>, 77–101. https://doi.org/10.1191/1478088706qp063oa</w:t>
      </w:r>
    </w:p>
    <w:p w14:paraId="7F4A9DA2" w14:textId="77777777" w:rsidR="00DF314E" w:rsidRPr="00992763" w:rsidRDefault="00DF314E" w:rsidP="00DF314E">
      <w:pPr>
        <w:spacing w:after="0" w:line="360" w:lineRule="auto"/>
        <w:ind w:left="567" w:hanging="567"/>
        <w:jc w:val="both"/>
        <w:rPr>
          <w:rFonts w:ascii="Times New Roman" w:eastAsia="SimSun" w:hAnsi="Times New Roman" w:cs="Times New Roman"/>
          <w:spacing w:val="-14"/>
          <w:sz w:val="24"/>
          <w:szCs w:val="28"/>
          <w:lang w:val="en-US" w:eastAsia="zh-CN"/>
        </w:rPr>
      </w:pPr>
      <w:r w:rsidRPr="00DF314E">
        <w:rPr>
          <w:rFonts w:ascii="Times New Roman" w:eastAsia="SimSun" w:hAnsi="Times New Roman" w:cs="Times New Roman"/>
          <w:spacing w:val="-14"/>
          <w:sz w:val="24"/>
          <w:szCs w:val="28"/>
          <w:lang w:val="en-US" w:eastAsia="zh-CN"/>
        </w:rPr>
        <w:t xml:space="preserve">Bronfenbrenner, U., &amp; Morris, P. A. (2006). The Bioecological Model of Human Development. In </w:t>
      </w:r>
      <w:r w:rsidRPr="00DF314E">
        <w:rPr>
          <w:rFonts w:ascii="Times New Roman" w:eastAsia="SimSun" w:hAnsi="Times New Roman" w:cs="Times New Roman"/>
          <w:i/>
          <w:iCs/>
          <w:spacing w:val="-14"/>
          <w:sz w:val="24"/>
          <w:szCs w:val="28"/>
          <w:lang w:val="en-US" w:eastAsia="zh-CN"/>
        </w:rPr>
        <w:t>Handbook of Child Psychology</w:t>
      </w:r>
      <w:r w:rsidRPr="00DF314E">
        <w:rPr>
          <w:rFonts w:ascii="Times New Roman" w:eastAsia="SimSun" w:hAnsi="Times New Roman" w:cs="Times New Roman"/>
          <w:spacing w:val="-14"/>
          <w:sz w:val="24"/>
          <w:szCs w:val="28"/>
          <w:lang w:val="en-US" w:eastAsia="zh-CN"/>
        </w:rPr>
        <w:t>. John Wiley &amp; Sons, Ltd. https://doi.org/10.1002/9780470147658.chpsy0114</w:t>
      </w:r>
    </w:p>
    <w:p w14:paraId="71808986" w14:textId="77777777" w:rsidR="00DF314E" w:rsidRPr="00992763" w:rsidRDefault="00DF314E" w:rsidP="00DF314E">
      <w:pPr>
        <w:spacing w:after="0" w:line="360" w:lineRule="auto"/>
        <w:ind w:left="567" w:hanging="567"/>
        <w:jc w:val="both"/>
        <w:rPr>
          <w:rFonts w:ascii="Times New Roman" w:eastAsia="SimSun" w:hAnsi="Times New Roman" w:cs="Times New Roman"/>
          <w:spacing w:val="-20"/>
          <w:sz w:val="24"/>
          <w:szCs w:val="28"/>
          <w:lang w:val="en-US" w:eastAsia="zh-CN"/>
        </w:rPr>
      </w:pPr>
      <w:r w:rsidRPr="00DF314E">
        <w:rPr>
          <w:rFonts w:ascii="Times New Roman" w:eastAsia="SimSun" w:hAnsi="Times New Roman" w:cs="Times New Roman"/>
          <w:spacing w:val="-20"/>
          <w:sz w:val="24"/>
          <w:szCs w:val="28"/>
          <w:lang w:val="en-US" w:eastAsia="zh-CN"/>
        </w:rPr>
        <w:t xml:space="preserve">Creswell, J. W., &amp; Poth, C. N. (2018). Qualitative inquiry and research design: Choosing among five approaches (4th ed.). </w:t>
      </w:r>
      <w:r w:rsidRPr="00DF314E">
        <w:rPr>
          <w:rFonts w:ascii="Times New Roman" w:eastAsia="SimSun" w:hAnsi="Times New Roman" w:cs="Times New Roman"/>
          <w:i/>
          <w:iCs/>
          <w:spacing w:val="-20"/>
          <w:sz w:val="24"/>
          <w:szCs w:val="28"/>
          <w:lang w:val="en-US" w:eastAsia="zh-CN"/>
        </w:rPr>
        <w:t xml:space="preserve">Sage. </w:t>
      </w:r>
      <w:r w:rsidRPr="00DF314E">
        <w:rPr>
          <w:rFonts w:ascii="Times New Roman" w:eastAsia="SimSun" w:hAnsi="Times New Roman" w:cs="Times New Roman"/>
          <w:spacing w:val="-20"/>
          <w:sz w:val="24"/>
          <w:szCs w:val="28"/>
          <w:lang w:val="en-US" w:eastAsia="zh-CN"/>
        </w:rPr>
        <w:t>https://pubhtml5.com/enuk/cykh/Creswell_and_Poth%2C_2018%2C_Qualitative_Inquiry_4th/</w:t>
      </w:r>
    </w:p>
    <w:p w14:paraId="549FFDCE" w14:textId="77777777" w:rsidR="00DF314E" w:rsidRPr="00992763" w:rsidRDefault="00DF314E" w:rsidP="00DF314E">
      <w:pPr>
        <w:spacing w:after="0" w:line="360" w:lineRule="auto"/>
        <w:ind w:left="567" w:hanging="567"/>
        <w:jc w:val="both"/>
        <w:rPr>
          <w:rFonts w:ascii="Times New Roman" w:eastAsia="SimSun" w:hAnsi="Times New Roman" w:cs="Times New Roman"/>
          <w:spacing w:val="-8"/>
          <w:sz w:val="24"/>
          <w:szCs w:val="28"/>
          <w:lang w:val="en-US" w:eastAsia="zh-CN"/>
        </w:rPr>
      </w:pPr>
      <w:r w:rsidRPr="00DF314E">
        <w:rPr>
          <w:rFonts w:ascii="Times New Roman" w:eastAsia="SimSun" w:hAnsi="Times New Roman" w:cs="Times New Roman"/>
          <w:spacing w:val="-8"/>
          <w:sz w:val="24"/>
          <w:szCs w:val="28"/>
          <w:lang w:val="en-US" w:eastAsia="zh-CN"/>
        </w:rPr>
        <w:t xml:space="preserve">Crone, E. A., &amp; Fuligni, A. J. (2020). Self and others in adolescence. </w:t>
      </w:r>
      <w:r w:rsidRPr="00DF314E">
        <w:rPr>
          <w:rFonts w:ascii="Times New Roman" w:eastAsia="SimSun" w:hAnsi="Times New Roman" w:cs="Times New Roman"/>
          <w:i/>
          <w:iCs/>
          <w:spacing w:val="-8"/>
          <w:sz w:val="24"/>
          <w:szCs w:val="28"/>
          <w:lang w:val="en-US" w:eastAsia="zh-CN"/>
        </w:rPr>
        <w:t>Annual Review of Psychology</w:t>
      </w:r>
      <w:r w:rsidRPr="00DF314E">
        <w:rPr>
          <w:rFonts w:ascii="Times New Roman" w:eastAsia="SimSun" w:hAnsi="Times New Roman" w:cs="Times New Roman"/>
          <w:spacing w:val="-8"/>
          <w:sz w:val="24"/>
          <w:szCs w:val="28"/>
          <w:lang w:val="en-US" w:eastAsia="zh-CN"/>
        </w:rPr>
        <w:t xml:space="preserve">, </w:t>
      </w:r>
      <w:r w:rsidRPr="00DF314E">
        <w:rPr>
          <w:rFonts w:ascii="Times New Roman" w:eastAsia="SimSun" w:hAnsi="Times New Roman" w:cs="Times New Roman"/>
          <w:i/>
          <w:iCs/>
          <w:spacing w:val="-8"/>
          <w:sz w:val="24"/>
          <w:szCs w:val="28"/>
          <w:lang w:val="en-US" w:eastAsia="zh-CN"/>
        </w:rPr>
        <w:t>71</w:t>
      </w:r>
      <w:r w:rsidRPr="00DF314E">
        <w:rPr>
          <w:rFonts w:ascii="Times New Roman" w:eastAsia="SimSun" w:hAnsi="Times New Roman" w:cs="Times New Roman"/>
          <w:spacing w:val="-8"/>
          <w:sz w:val="24"/>
          <w:szCs w:val="28"/>
          <w:lang w:val="en-US" w:eastAsia="zh-CN"/>
        </w:rPr>
        <w:t>, 447–469. https://doi.org/10.1146/annurev-psych-010419-050937</w:t>
      </w:r>
    </w:p>
    <w:p w14:paraId="5BFBB0E1" w14:textId="77777777" w:rsidR="00DF314E" w:rsidRPr="00992763" w:rsidRDefault="00DF314E" w:rsidP="00DF314E">
      <w:pPr>
        <w:spacing w:after="0" w:line="360" w:lineRule="auto"/>
        <w:ind w:left="567" w:hanging="567"/>
        <w:jc w:val="both"/>
        <w:rPr>
          <w:rFonts w:ascii="Times New Roman" w:eastAsia="SimSun" w:hAnsi="Times New Roman" w:cs="Times New Roman"/>
          <w:spacing w:val="-10"/>
          <w:sz w:val="24"/>
          <w:szCs w:val="28"/>
          <w:lang w:val="en-US" w:eastAsia="zh-CN"/>
        </w:rPr>
      </w:pPr>
      <w:r w:rsidRPr="00DF314E">
        <w:rPr>
          <w:rFonts w:ascii="Times New Roman" w:eastAsia="SimSun" w:hAnsi="Times New Roman" w:cs="Times New Roman"/>
          <w:spacing w:val="-10"/>
          <w:sz w:val="24"/>
          <w:szCs w:val="28"/>
          <w:lang w:val="en-US" w:eastAsia="zh-CN"/>
        </w:rPr>
        <w:t xml:space="preserve">Crone, E., &amp; Dahl, R. (2012). Understanding adolescence as a period of social-affective engagement and goal flexibility. </w:t>
      </w:r>
      <w:r w:rsidRPr="00DF314E">
        <w:rPr>
          <w:rFonts w:ascii="Times New Roman" w:eastAsia="SimSun" w:hAnsi="Times New Roman" w:cs="Times New Roman"/>
          <w:i/>
          <w:iCs/>
          <w:spacing w:val="-10"/>
          <w:sz w:val="24"/>
          <w:szCs w:val="28"/>
          <w:lang w:val="en-US" w:eastAsia="zh-CN"/>
        </w:rPr>
        <w:t>Nature Reviews. Neuroscience</w:t>
      </w:r>
      <w:r w:rsidRPr="00DF314E">
        <w:rPr>
          <w:rFonts w:ascii="Times New Roman" w:eastAsia="SimSun" w:hAnsi="Times New Roman" w:cs="Times New Roman"/>
          <w:spacing w:val="-10"/>
          <w:sz w:val="24"/>
          <w:szCs w:val="28"/>
          <w:lang w:val="en-US" w:eastAsia="zh-CN"/>
        </w:rPr>
        <w:t xml:space="preserve">, </w:t>
      </w:r>
      <w:r w:rsidRPr="00DF314E">
        <w:rPr>
          <w:rFonts w:ascii="Times New Roman" w:eastAsia="SimSun" w:hAnsi="Times New Roman" w:cs="Times New Roman"/>
          <w:i/>
          <w:iCs/>
          <w:spacing w:val="-10"/>
          <w:sz w:val="24"/>
          <w:szCs w:val="28"/>
          <w:lang w:val="en-US" w:eastAsia="zh-CN"/>
        </w:rPr>
        <w:t>13</w:t>
      </w:r>
      <w:r w:rsidRPr="00DF314E">
        <w:rPr>
          <w:rFonts w:ascii="Times New Roman" w:eastAsia="SimSun" w:hAnsi="Times New Roman" w:cs="Times New Roman"/>
          <w:spacing w:val="-10"/>
          <w:sz w:val="24"/>
          <w:szCs w:val="28"/>
          <w:lang w:val="en-US" w:eastAsia="zh-CN"/>
        </w:rPr>
        <w:t>, 636–650. https://doi.org/10.1038/nrn3313</w:t>
      </w:r>
    </w:p>
    <w:p w14:paraId="2B35D3E4" w14:textId="77777777" w:rsidR="00DF314E" w:rsidRPr="00992763" w:rsidRDefault="00DF314E" w:rsidP="00DF314E">
      <w:pPr>
        <w:spacing w:after="0" w:line="360" w:lineRule="auto"/>
        <w:ind w:left="567" w:hanging="567"/>
        <w:jc w:val="both"/>
        <w:rPr>
          <w:rFonts w:ascii="Times New Roman" w:eastAsia="SimSun" w:hAnsi="Times New Roman" w:cs="Times New Roman"/>
          <w:spacing w:val="-8"/>
          <w:sz w:val="24"/>
          <w:szCs w:val="28"/>
          <w:lang w:val="en-US" w:eastAsia="zh-CN"/>
        </w:rPr>
      </w:pPr>
      <w:r w:rsidRPr="00DF314E">
        <w:rPr>
          <w:rFonts w:ascii="Times New Roman" w:eastAsia="SimSun" w:hAnsi="Times New Roman" w:cs="Times New Roman"/>
          <w:spacing w:val="-8"/>
          <w:sz w:val="24"/>
          <w:szCs w:val="28"/>
          <w:lang w:val="en-US" w:eastAsia="zh-CN"/>
        </w:rPr>
        <w:t xml:space="preserve">Domitrovich, C., Durlak, J., Staley, K., &amp; Weissberg, R. (2017). Social-Emotional Competence: An Essential Factor for Promoting Positive Adjustment and Reducing Risk in School Children. </w:t>
      </w:r>
      <w:r w:rsidRPr="00DF314E">
        <w:rPr>
          <w:rFonts w:ascii="Times New Roman" w:eastAsia="SimSun" w:hAnsi="Times New Roman" w:cs="Times New Roman"/>
          <w:i/>
          <w:iCs/>
          <w:spacing w:val="-8"/>
          <w:sz w:val="24"/>
          <w:szCs w:val="28"/>
          <w:lang w:val="en-US" w:eastAsia="zh-CN"/>
        </w:rPr>
        <w:t>Child Development</w:t>
      </w:r>
      <w:r w:rsidRPr="00DF314E">
        <w:rPr>
          <w:rFonts w:ascii="Times New Roman" w:eastAsia="SimSun" w:hAnsi="Times New Roman" w:cs="Times New Roman"/>
          <w:spacing w:val="-8"/>
          <w:sz w:val="24"/>
          <w:szCs w:val="28"/>
          <w:lang w:val="en-US" w:eastAsia="zh-CN"/>
        </w:rPr>
        <w:t xml:space="preserve">, </w:t>
      </w:r>
      <w:r w:rsidRPr="00DF314E">
        <w:rPr>
          <w:rFonts w:ascii="Times New Roman" w:eastAsia="SimSun" w:hAnsi="Times New Roman" w:cs="Times New Roman"/>
          <w:i/>
          <w:iCs/>
          <w:spacing w:val="-8"/>
          <w:sz w:val="24"/>
          <w:szCs w:val="28"/>
          <w:lang w:val="en-US" w:eastAsia="zh-CN"/>
        </w:rPr>
        <w:t>88</w:t>
      </w:r>
      <w:r w:rsidRPr="00DF314E">
        <w:rPr>
          <w:rFonts w:ascii="Times New Roman" w:eastAsia="SimSun" w:hAnsi="Times New Roman" w:cs="Times New Roman"/>
          <w:spacing w:val="-8"/>
          <w:sz w:val="24"/>
          <w:szCs w:val="28"/>
          <w:lang w:val="en-US" w:eastAsia="zh-CN"/>
        </w:rPr>
        <w:t>. https://doi.org/10.1111/cdev.12739</w:t>
      </w:r>
    </w:p>
    <w:p w14:paraId="2B441676" w14:textId="77777777" w:rsidR="00DF314E" w:rsidRPr="00DF314E" w:rsidRDefault="00DF314E" w:rsidP="00DF314E">
      <w:pPr>
        <w:spacing w:after="0" w:line="360" w:lineRule="auto"/>
        <w:ind w:left="567" w:hanging="567"/>
        <w:jc w:val="both"/>
        <w:rPr>
          <w:rFonts w:ascii="Times New Roman" w:eastAsia="SimSun" w:hAnsi="Times New Roman" w:cs="Times New Roman"/>
          <w:spacing w:val="-8"/>
          <w:sz w:val="24"/>
          <w:szCs w:val="28"/>
          <w:lang w:val="en-US" w:eastAsia="zh-CN"/>
        </w:rPr>
      </w:pPr>
      <w:r w:rsidRPr="00DF314E">
        <w:rPr>
          <w:rFonts w:ascii="Times New Roman" w:eastAsia="SimSun" w:hAnsi="Times New Roman" w:cs="Times New Roman"/>
          <w:spacing w:val="-10"/>
          <w:sz w:val="24"/>
          <w:szCs w:val="28"/>
          <w:lang w:val="en-US" w:eastAsia="zh-CN"/>
        </w:rPr>
        <w:t xml:space="preserve">Durlak, J. A., Weissberg, R. P., Dymnicki, A. B., Taylor, R. D., &amp; Schellinger, K. B. (2011). The Impact of Enhancing Students’ Social and Emotional Learning: A Meta-Analysis of School-Based Universal Interventions. </w:t>
      </w:r>
      <w:r w:rsidRPr="00DF314E">
        <w:rPr>
          <w:rFonts w:ascii="Times New Roman" w:eastAsia="SimSun" w:hAnsi="Times New Roman" w:cs="Times New Roman"/>
          <w:i/>
          <w:iCs/>
          <w:spacing w:val="-10"/>
          <w:sz w:val="24"/>
          <w:szCs w:val="28"/>
          <w:lang w:val="en-US" w:eastAsia="zh-CN"/>
        </w:rPr>
        <w:t>Child Development</w:t>
      </w:r>
      <w:r w:rsidRPr="00DF314E">
        <w:rPr>
          <w:rFonts w:ascii="Times New Roman" w:eastAsia="SimSun" w:hAnsi="Times New Roman" w:cs="Times New Roman"/>
          <w:spacing w:val="-10"/>
          <w:sz w:val="24"/>
          <w:szCs w:val="28"/>
          <w:lang w:val="en-US" w:eastAsia="zh-CN"/>
        </w:rPr>
        <w:t xml:space="preserve">, </w:t>
      </w:r>
      <w:r w:rsidRPr="00DF314E">
        <w:rPr>
          <w:rFonts w:ascii="Times New Roman" w:eastAsia="SimSun" w:hAnsi="Times New Roman" w:cs="Times New Roman"/>
          <w:i/>
          <w:iCs/>
          <w:spacing w:val="-10"/>
          <w:sz w:val="24"/>
          <w:szCs w:val="28"/>
          <w:lang w:val="en-US" w:eastAsia="zh-CN"/>
        </w:rPr>
        <w:t>82</w:t>
      </w:r>
      <w:r w:rsidRPr="00DF314E">
        <w:rPr>
          <w:rFonts w:ascii="Times New Roman" w:eastAsia="SimSun" w:hAnsi="Times New Roman" w:cs="Times New Roman"/>
          <w:spacing w:val="-10"/>
          <w:sz w:val="24"/>
          <w:szCs w:val="28"/>
          <w:lang w:val="en-US" w:eastAsia="zh-CN"/>
        </w:rPr>
        <w:t>(1), 405–432. https://doi.org/10.1111/j.1467-8624.2010.01564.x</w:t>
      </w:r>
    </w:p>
    <w:p w14:paraId="2A9AA42A" w14:textId="77777777" w:rsidR="00DF314E" w:rsidRPr="00DF314E" w:rsidRDefault="00DF314E" w:rsidP="00DF314E">
      <w:pPr>
        <w:spacing w:after="0" w:line="360" w:lineRule="auto"/>
        <w:ind w:left="567" w:hanging="567"/>
        <w:jc w:val="both"/>
        <w:rPr>
          <w:rFonts w:ascii="Times New Roman" w:eastAsia="SimSun" w:hAnsi="Times New Roman" w:cs="Times New Roman"/>
          <w:spacing w:val="-8"/>
          <w:sz w:val="24"/>
          <w:szCs w:val="28"/>
          <w:lang w:val="en-US" w:eastAsia="zh-CN"/>
        </w:rPr>
      </w:pPr>
      <w:r w:rsidRPr="00DF314E">
        <w:rPr>
          <w:rFonts w:ascii="Times New Roman" w:eastAsia="SimSun" w:hAnsi="Times New Roman" w:cs="Times New Roman"/>
          <w:sz w:val="24"/>
          <w:szCs w:val="28"/>
          <w:lang w:val="en-US" w:eastAsia="zh-CN"/>
        </w:rPr>
        <w:lastRenderedPageBreak/>
        <w:t xml:space="preserve">Erikson, E. H. (1968). Identity Youth and Crisis. </w:t>
      </w:r>
      <w:r w:rsidRPr="00DF314E">
        <w:rPr>
          <w:rFonts w:ascii="Times New Roman" w:eastAsia="SimSun" w:hAnsi="Times New Roman" w:cs="Times New Roman"/>
          <w:i/>
          <w:iCs/>
          <w:sz w:val="24"/>
          <w:szCs w:val="28"/>
          <w:lang w:val="en-US" w:eastAsia="zh-CN"/>
        </w:rPr>
        <w:t>W. W. Norton</w:t>
      </w:r>
      <w:r w:rsidRPr="00DF314E">
        <w:rPr>
          <w:rFonts w:ascii="Times New Roman" w:eastAsia="SimSun" w:hAnsi="Times New Roman" w:cs="Times New Roman"/>
          <w:i/>
          <w:iCs/>
          <w:sz w:val="28"/>
          <w:szCs w:val="28"/>
          <w:lang w:val="en-US" w:eastAsia="zh-CN"/>
        </w:rPr>
        <w:t xml:space="preserve"> </w:t>
      </w:r>
      <w:r w:rsidRPr="00DF314E">
        <w:rPr>
          <w:rFonts w:ascii="Times New Roman" w:eastAsia="SimSun" w:hAnsi="Times New Roman" w:cs="Times New Roman"/>
          <w:i/>
          <w:iCs/>
          <w:sz w:val="24"/>
          <w:szCs w:val="28"/>
          <w:lang w:val="en-US" w:eastAsia="zh-CN"/>
        </w:rPr>
        <w:t>&amp; Company</w:t>
      </w:r>
      <w:r w:rsidRPr="00DF314E">
        <w:rPr>
          <w:rFonts w:ascii="Times New Roman" w:eastAsia="SimSun" w:hAnsi="Times New Roman" w:cs="Times New Roman"/>
          <w:sz w:val="24"/>
          <w:szCs w:val="28"/>
          <w:lang w:val="en-US" w:eastAsia="zh-CN"/>
        </w:rPr>
        <w:t>.</w:t>
      </w:r>
    </w:p>
    <w:p w14:paraId="1334BBD2" w14:textId="77777777" w:rsidR="00DF314E" w:rsidRPr="00DF314E" w:rsidRDefault="00DF314E" w:rsidP="00DF314E">
      <w:pPr>
        <w:spacing w:after="0" w:line="360" w:lineRule="auto"/>
        <w:ind w:left="567" w:hanging="567"/>
        <w:jc w:val="both"/>
        <w:rPr>
          <w:rFonts w:ascii="Times New Roman" w:eastAsia="SimSun" w:hAnsi="Times New Roman" w:cs="Times New Roman"/>
          <w:spacing w:val="-8"/>
          <w:sz w:val="24"/>
          <w:szCs w:val="28"/>
          <w:lang w:val="en-US" w:eastAsia="zh-CN"/>
        </w:rPr>
      </w:pPr>
      <w:r w:rsidRPr="00DF314E">
        <w:rPr>
          <w:rFonts w:ascii="Times New Roman" w:eastAsia="SimSun" w:hAnsi="Times New Roman" w:cs="Times New Roman"/>
          <w:sz w:val="24"/>
          <w:szCs w:val="28"/>
          <w:lang w:val="en-US" w:eastAsia="zh-CN"/>
        </w:rPr>
        <w:t xml:space="preserve">Gross, J. J. (2015). Emotion Regulation: Current Status and Future Prospects. </w:t>
      </w:r>
      <w:r w:rsidRPr="00DF314E">
        <w:rPr>
          <w:rFonts w:ascii="Times New Roman" w:eastAsia="SimSun" w:hAnsi="Times New Roman" w:cs="Times New Roman"/>
          <w:i/>
          <w:iCs/>
          <w:sz w:val="24"/>
          <w:szCs w:val="28"/>
          <w:lang w:val="en-US" w:eastAsia="zh-CN"/>
        </w:rPr>
        <w:t>Psychological Inquiry</w:t>
      </w:r>
      <w:r w:rsidRPr="00DF314E">
        <w:rPr>
          <w:rFonts w:ascii="Times New Roman" w:eastAsia="SimSun" w:hAnsi="Times New Roman" w:cs="Times New Roman"/>
          <w:sz w:val="24"/>
          <w:szCs w:val="28"/>
          <w:lang w:val="en-US" w:eastAsia="zh-CN"/>
        </w:rPr>
        <w:t xml:space="preserve">, </w:t>
      </w:r>
      <w:r w:rsidRPr="00DF314E">
        <w:rPr>
          <w:rFonts w:ascii="Times New Roman" w:eastAsia="SimSun" w:hAnsi="Times New Roman" w:cs="Times New Roman"/>
          <w:i/>
          <w:iCs/>
          <w:sz w:val="24"/>
          <w:szCs w:val="28"/>
          <w:lang w:val="en-US" w:eastAsia="zh-CN"/>
        </w:rPr>
        <w:t>26</w:t>
      </w:r>
      <w:r w:rsidRPr="00DF314E">
        <w:rPr>
          <w:rFonts w:ascii="Times New Roman" w:eastAsia="SimSun" w:hAnsi="Times New Roman" w:cs="Times New Roman"/>
          <w:sz w:val="24"/>
          <w:szCs w:val="28"/>
          <w:lang w:val="en-US" w:eastAsia="zh-CN"/>
        </w:rPr>
        <w:t>(1), 1–26. https://doi.org/10.1080/1047840X.2014.940781</w:t>
      </w:r>
    </w:p>
    <w:p w14:paraId="36A5425F" w14:textId="77777777" w:rsidR="00DF314E" w:rsidRPr="00DF314E" w:rsidRDefault="00DF314E" w:rsidP="00DF314E">
      <w:pPr>
        <w:spacing w:after="0" w:line="360" w:lineRule="auto"/>
        <w:ind w:left="567" w:hanging="567"/>
        <w:jc w:val="both"/>
        <w:rPr>
          <w:rFonts w:ascii="Times New Roman" w:eastAsia="SimSun" w:hAnsi="Times New Roman" w:cs="Times New Roman"/>
          <w:spacing w:val="-8"/>
          <w:sz w:val="24"/>
          <w:szCs w:val="28"/>
          <w:lang w:val="en-US" w:eastAsia="zh-CN"/>
        </w:rPr>
      </w:pPr>
      <w:r w:rsidRPr="00DF314E">
        <w:rPr>
          <w:rFonts w:ascii="Times New Roman" w:eastAsia="SimSun" w:hAnsi="Times New Roman" w:cs="Times New Roman"/>
          <w:sz w:val="24"/>
          <w:szCs w:val="28"/>
          <w:lang w:val="en-US" w:eastAsia="zh-CN"/>
        </w:rPr>
        <w:t>Jones, S., Bailey, R., Brush, K., Nelson, B., &amp; Barnes, S. (2019). What is the Same and What is Different?</w:t>
      </w:r>
      <w:r w:rsidRPr="00DF314E">
        <w:rPr>
          <w:rFonts w:ascii="Times New Roman" w:eastAsia="SimSun" w:hAnsi="Times New Roman" w:cs="Times New Roman"/>
          <w:sz w:val="28"/>
          <w:szCs w:val="28"/>
          <w:lang w:val="en-US" w:eastAsia="zh-CN"/>
        </w:rPr>
        <w:t xml:space="preserve"> </w:t>
      </w:r>
      <w:r w:rsidRPr="00DF314E">
        <w:rPr>
          <w:rFonts w:ascii="Times New Roman" w:eastAsia="SimSun" w:hAnsi="Times New Roman" w:cs="Times New Roman"/>
          <w:sz w:val="24"/>
          <w:szCs w:val="28"/>
          <w:lang w:val="en-US" w:eastAsia="zh-CN"/>
        </w:rPr>
        <w:t>Making sense of the “non-cognitive” domain</w:t>
      </w:r>
      <w:r w:rsidRPr="00DF314E">
        <w:rPr>
          <w:rFonts w:ascii="Times New Roman" w:eastAsia="SimSun" w:hAnsi="Times New Roman" w:cs="Times New Roman"/>
          <w:i/>
          <w:iCs/>
          <w:sz w:val="24"/>
          <w:szCs w:val="28"/>
          <w:lang w:val="en-US" w:eastAsia="zh-CN"/>
        </w:rPr>
        <w:t>. Review of Research in Education, 43(1), 51–98. https://doi.org/10.3102/0091732X18811838</w:t>
      </w:r>
    </w:p>
    <w:p w14:paraId="76BF5485" w14:textId="77777777" w:rsidR="00DF314E" w:rsidRPr="00DF314E" w:rsidRDefault="00DF314E" w:rsidP="00DF314E">
      <w:pPr>
        <w:spacing w:after="0" w:line="360" w:lineRule="auto"/>
        <w:ind w:left="567" w:hanging="567"/>
        <w:jc w:val="both"/>
        <w:rPr>
          <w:rFonts w:ascii="Times New Roman" w:eastAsia="SimSun" w:hAnsi="Times New Roman" w:cs="Times New Roman"/>
          <w:spacing w:val="-8"/>
          <w:sz w:val="24"/>
          <w:szCs w:val="28"/>
          <w:lang w:val="en-US" w:eastAsia="zh-CN"/>
        </w:rPr>
      </w:pPr>
      <w:r w:rsidRPr="00DF314E">
        <w:rPr>
          <w:rFonts w:ascii="Times New Roman" w:eastAsia="SimSun" w:hAnsi="Times New Roman" w:cs="Times New Roman"/>
          <w:spacing w:val="-4"/>
          <w:sz w:val="24"/>
          <w:szCs w:val="28"/>
          <w:lang w:val="en-US" w:eastAsia="zh-CN"/>
        </w:rPr>
        <w:t xml:space="preserve">Lansford, J. E., Godwin, J., Al-Hassan, S. M., Bacchini, D., Bornstein, M. H., Chang, L., Chen, B.-B., Deater-Deckard, K., Di Giunta, L., Dodge, K. A., Malone, P. S., Oburu, P., Pastorelli, C., Skinner, A. T., Sorbring, E., Steinberg, L., Tapanya, S., Alampay, L. P., Uribe Tirado, L. M., &amp; Zelli, A. (2018). Longitudinal associations between parenting and youth adjustment in twelve cultural groups: Cultural normativeness of parenting as a moderator. </w:t>
      </w:r>
      <w:r w:rsidRPr="00DF314E">
        <w:rPr>
          <w:rFonts w:ascii="Times New Roman" w:eastAsia="SimSun" w:hAnsi="Times New Roman" w:cs="Times New Roman"/>
          <w:i/>
          <w:iCs/>
          <w:spacing w:val="-4"/>
          <w:sz w:val="24"/>
          <w:szCs w:val="28"/>
          <w:lang w:val="en-US" w:eastAsia="zh-CN"/>
        </w:rPr>
        <w:t>Developmental Psychology</w:t>
      </w:r>
      <w:r w:rsidRPr="00DF314E">
        <w:rPr>
          <w:rFonts w:ascii="Times New Roman" w:eastAsia="SimSun" w:hAnsi="Times New Roman" w:cs="Times New Roman"/>
          <w:spacing w:val="-4"/>
          <w:sz w:val="24"/>
          <w:szCs w:val="28"/>
          <w:lang w:val="en-US" w:eastAsia="zh-CN"/>
        </w:rPr>
        <w:t xml:space="preserve">, </w:t>
      </w:r>
      <w:r w:rsidRPr="00DF314E">
        <w:rPr>
          <w:rFonts w:ascii="Times New Roman" w:eastAsia="SimSun" w:hAnsi="Times New Roman" w:cs="Times New Roman"/>
          <w:i/>
          <w:iCs/>
          <w:spacing w:val="-4"/>
          <w:sz w:val="24"/>
          <w:szCs w:val="28"/>
          <w:lang w:val="en-US" w:eastAsia="zh-CN"/>
        </w:rPr>
        <w:t>54</w:t>
      </w:r>
      <w:r w:rsidRPr="00DF314E">
        <w:rPr>
          <w:rFonts w:ascii="Times New Roman" w:eastAsia="SimSun" w:hAnsi="Times New Roman" w:cs="Times New Roman"/>
          <w:spacing w:val="-4"/>
          <w:sz w:val="24"/>
          <w:szCs w:val="28"/>
          <w:lang w:val="en-US" w:eastAsia="zh-CN"/>
        </w:rPr>
        <w:t>(2), 362–377. https://doi.org/10.1037/dev0000416</w:t>
      </w:r>
    </w:p>
    <w:p w14:paraId="2DD8D5B1" w14:textId="77777777" w:rsidR="00DF314E" w:rsidRPr="00DF314E" w:rsidRDefault="00DF314E" w:rsidP="00DF314E">
      <w:pPr>
        <w:spacing w:after="0" w:line="360" w:lineRule="auto"/>
        <w:ind w:left="567" w:hanging="567"/>
        <w:jc w:val="both"/>
        <w:rPr>
          <w:rFonts w:ascii="Times New Roman" w:eastAsia="SimSun" w:hAnsi="Times New Roman" w:cs="Times New Roman"/>
          <w:spacing w:val="-8"/>
          <w:sz w:val="24"/>
          <w:szCs w:val="28"/>
          <w:lang w:val="en-US" w:eastAsia="zh-CN"/>
        </w:rPr>
      </w:pPr>
      <w:r w:rsidRPr="00DF314E">
        <w:rPr>
          <w:rFonts w:ascii="Times New Roman" w:eastAsia="SimSun" w:hAnsi="Times New Roman" w:cs="Times New Roman"/>
          <w:sz w:val="24"/>
          <w:szCs w:val="28"/>
          <w:lang w:val="en-US" w:eastAsia="zh-CN"/>
        </w:rPr>
        <w:t xml:space="preserve">Lasmanawati, A. (2021). Self-regulation learning strategies in problem solving. </w:t>
      </w:r>
      <w:r w:rsidRPr="00DF314E">
        <w:rPr>
          <w:rFonts w:ascii="Times New Roman" w:eastAsia="SimSun" w:hAnsi="Times New Roman" w:cs="Times New Roman"/>
          <w:i/>
          <w:iCs/>
          <w:sz w:val="24"/>
          <w:szCs w:val="28"/>
          <w:lang w:val="en-US" w:eastAsia="zh-CN"/>
        </w:rPr>
        <w:t>Humanika</w:t>
      </w:r>
      <w:r w:rsidRPr="00DF314E">
        <w:rPr>
          <w:rFonts w:ascii="Times New Roman" w:eastAsia="SimSun" w:hAnsi="Times New Roman" w:cs="Times New Roman"/>
          <w:sz w:val="24"/>
          <w:szCs w:val="28"/>
          <w:lang w:val="en-US" w:eastAsia="zh-CN"/>
        </w:rPr>
        <w:t xml:space="preserve">, </w:t>
      </w:r>
      <w:r w:rsidRPr="00DF314E">
        <w:rPr>
          <w:rFonts w:ascii="Times New Roman" w:eastAsia="SimSun" w:hAnsi="Times New Roman" w:cs="Times New Roman"/>
          <w:i/>
          <w:iCs/>
          <w:sz w:val="24"/>
          <w:szCs w:val="28"/>
          <w:lang w:val="en-US" w:eastAsia="zh-CN"/>
        </w:rPr>
        <w:t>21</w:t>
      </w:r>
      <w:r w:rsidRPr="00DF314E">
        <w:rPr>
          <w:rFonts w:ascii="Times New Roman" w:eastAsia="SimSun" w:hAnsi="Times New Roman" w:cs="Times New Roman"/>
          <w:sz w:val="24"/>
          <w:szCs w:val="28"/>
          <w:lang w:val="en-US" w:eastAsia="zh-CN"/>
        </w:rPr>
        <w:t>(1), 1–16.</w:t>
      </w:r>
      <w:r w:rsidRPr="00DF314E">
        <w:rPr>
          <w:rFonts w:ascii="Times New Roman" w:eastAsia="SimSun" w:hAnsi="Times New Roman" w:cs="Times New Roman"/>
          <w:sz w:val="28"/>
          <w:szCs w:val="28"/>
          <w:lang w:val="en-US" w:eastAsia="zh-CN"/>
        </w:rPr>
        <w:t xml:space="preserve"> </w:t>
      </w:r>
      <w:r w:rsidRPr="00DF314E">
        <w:rPr>
          <w:rFonts w:ascii="Times New Roman" w:eastAsia="SimSun" w:hAnsi="Times New Roman" w:cs="Times New Roman"/>
          <w:sz w:val="24"/>
          <w:szCs w:val="28"/>
          <w:lang w:val="en-US" w:eastAsia="zh-CN"/>
        </w:rPr>
        <w:t>https://doi.org/10.21831/hum.v21i1.38965</w:t>
      </w:r>
    </w:p>
    <w:p w14:paraId="7D680467" w14:textId="77777777" w:rsidR="00DF314E" w:rsidRPr="00DF314E" w:rsidRDefault="00DF314E" w:rsidP="00DF314E">
      <w:pPr>
        <w:spacing w:after="0" w:line="360" w:lineRule="auto"/>
        <w:ind w:left="567" w:hanging="567"/>
        <w:jc w:val="both"/>
        <w:rPr>
          <w:rFonts w:ascii="Times New Roman" w:eastAsia="SimSun" w:hAnsi="Times New Roman" w:cs="Times New Roman"/>
          <w:spacing w:val="-8"/>
          <w:sz w:val="24"/>
          <w:szCs w:val="28"/>
          <w:lang w:val="en-US" w:eastAsia="zh-CN"/>
        </w:rPr>
      </w:pPr>
      <w:r w:rsidRPr="00DF314E">
        <w:rPr>
          <w:rFonts w:ascii="Times New Roman" w:eastAsia="SimSun" w:hAnsi="Times New Roman" w:cs="Times New Roman"/>
          <w:sz w:val="24"/>
          <w:szCs w:val="28"/>
          <w:lang w:val="en-US" w:eastAsia="zh-CN"/>
        </w:rPr>
        <w:t xml:space="preserve">Latipah, E. (2017). The influence of experiential learning strategies on students’ self-regulated learning. </w:t>
      </w:r>
      <w:r w:rsidRPr="00DF314E">
        <w:rPr>
          <w:rFonts w:ascii="Times New Roman" w:eastAsia="SimSun" w:hAnsi="Times New Roman" w:cs="Times New Roman"/>
          <w:i/>
          <w:iCs/>
          <w:sz w:val="24"/>
          <w:szCs w:val="28"/>
          <w:lang w:val="en-US" w:eastAsia="zh-CN"/>
        </w:rPr>
        <w:t>HUMANITAS</w:t>
      </w:r>
      <w:r w:rsidRPr="00DF314E">
        <w:rPr>
          <w:rFonts w:ascii="Times New Roman" w:eastAsia="SimSun" w:hAnsi="Times New Roman" w:cs="Times New Roman"/>
          <w:sz w:val="24"/>
          <w:szCs w:val="28"/>
          <w:lang w:val="en-US" w:eastAsia="zh-CN"/>
        </w:rPr>
        <w:t xml:space="preserve">, </w:t>
      </w:r>
      <w:r w:rsidRPr="00DF314E">
        <w:rPr>
          <w:rFonts w:ascii="Times New Roman" w:eastAsia="SimSun" w:hAnsi="Times New Roman" w:cs="Times New Roman"/>
          <w:i/>
          <w:iCs/>
          <w:sz w:val="24"/>
          <w:szCs w:val="28"/>
          <w:lang w:val="en-US" w:eastAsia="zh-CN"/>
        </w:rPr>
        <w:t>14</w:t>
      </w:r>
      <w:r w:rsidRPr="00DF314E">
        <w:rPr>
          <w:rFonts w:ascii="Times New Roman" w:eastAsia="SimSun" w:hAnsi="Times New Roman" w:cs="Times New Roman"/>
          <w:sz w:val="24"/>
          <w:szCs w:val="28"/>
          <w:lang w:val="en-US" w:eastAsia="zh-CN"/>
        </w:rPr>
        <w:t>(1), 41. https://doi.org/10.26555/humanitas.v14i1.4547</w:t>
      </w:r>
    </w:p>
    <w:p w14:paraId="027E8491" w14:textId="77777777" w:rsidR="00DF314E" w:rsidRPr="00DF314E" w:rsidRDefault="00DF314E" w:rsidP="00DF314E">
      <w:pPr>
        <w:spacing w:after="0" w:line="360" w:lineRule="auto"/>
        <w:ind w:left="567" w:hanging="567"/>
        <w:jc w:val="both"/>
        <w:rPr>
          <w:rFonts w:ascii="Times New Roman" w:eastAsia="SimSun" w:hAnsi="Times New Roman" w:cs="Times New Roman"/>
          <w:spacing w:val="-8"/>
          <w:sz w:val="24"/>
          <w:szCs w:val="28"/>
          <w:lang w:val="en-US" w:eastAsia="zh-CN"/>
        </w:rPr>
      </w:pPr>
      <w:r w:rsidRPr="00DF314E">
        <w:rPr>
          <w:rFonts w:ascii="Times New Roman" w:eastAsia="SimSun" w:hAnsi="Times New Roman" w:cs="Times New Roman"/>
          <w:sz w:val="24"/>
          <w:szCs w:val="28"/>
          <w:lang w:val="en-US" w:eastAsia="zh-CN"/>
        </w:rPr>
        <w:t xml:space="preserve">Lincoln, Y. S., &amp; Guba, E. G. (1985). Naturalistic Inquiry. </w:t>
      </w:r>
      <w:r w:rsidRPr="00DF314E">
        <w:rPr>
          <w:rFonts w:ascii="Times New Roman" w:eastAsia="SimSun" w:hAnsi="Times New Roman" w:cs="Times New Roman"/>
          <w:i/>
          <w:iCs/>
          <w:sz w:val="24"/>
          <w:szCs w:val="28"/>
          <w:lang w:val="en-US" w:eastAsia="zh-CN"/>
        </w:rPr>
        <w:t>Sage</w:t>
      </w:r>
      <w:r w:rsidRPr="00DF314E">
        <w:rPr>
          <w:rFonts w:ascii="Times New Roman" w:eastAsia="SimSun" w:hAnsi="Times New Roman" w:cs="Times New Roman"/>
          <w:sz w:val="24"/>
          <w:szCs w:val="28"/>
          <w:lang w:val="en-US" w:eastAsia="zh-CN"/>
        </w:rPr>
        <w:t>.</w:t>
      </w:r>
    </w:p>
    <w:p w14:paraId="176D3C07" w14:textId="77777777" w:rsidR="00DF314E" w:rsidRPr="00992763" w:rsidRDefault="00DF314E" w:rsidP="00DF314E">
      <w:pPr>
        <w:spacing w:after="0" w:line="360" w:lineRule="auto"/>
        <w:ind w:left="567" w:hanging="567"/>
        <w:jc w:val="both"/>
        <w:rPr>
          <w:rFonts w:ascii="Times New Roman" w:eastAsia="SimSun" w:hAnsi="Times New Roman" w:cs="Times New Roman"/>
          <w:spacing w:val="-16"/>
          <w:sz w:val="24"/>
          <w:szCs w:val="28"/>
          <w:lang w:val="en-US" w:eastAsia="zh-CN"/>
        </w:rPr>
      </w:pPr>
      <w:r w:rsidRPr="00DF314E">
        <w:rPr>
          <w:rFonts w:ascii="Times New Roman" w:eastAsia="SimSun" w:hAnsi="Times New Roman" w:cs="Times New Roman"/>
          <w:spacing w:val="-16"/>
          <w:sz w:val="24"/>
          <w:szCs w:val="28"/>
          <w:lang w:val="en-US" w:eastAsia="zh-CN"/>
        </w:rPr>
        <w:t xml:space="preserve">McLaughlin, K. A., Garrad, M. C., &amp; Somerville, L. H. (2019). What develops during emotional development? A component process approach to identifying sources of psychopathology risk in adolescence. </w:t>
      </w:r>
      <w:r w:rsidRPr="00DF314E">
        <w:rPr>
          <w:rFonts w:ascii="Times New Roman" w:eastAsia="SimSun" w:hAnsi="Times New Roman" w:cs="Times New Roman"/>
          <w:i/>
          <w:iCs/>
          <w:spacing w:val="-16"/>
          <w:sz w:val="24"/>
          <w:szCs w:val="28"/>
          <w:lang w:val="en-US" w:eastAsia="zh-CN"/>
        </w:rPr>
        <w:t>Dialogues in Clinical Neuroscience</w:t>
      </w:r>
      <w:r w:rsidRPr="00DF314E">
        <w:rPr>
          <w:rFonts w:ascii="Times New Roman" w:eastAsia="SimSun" w:hAnsi="Times New Roman" w:cs="Times New Roman"/>
          <w:spacing w:val="-16"/>
          <w:sz w:val="24"/>
          <w:szCs w:val="28"/>
          <w:lang w:val="en-US" w:eastAsia="zh-CN"/>
        </w:rPr>
        <w:t xml:space="preserve">, </w:t>
      </w:r>
      <w:r w:rsidRPr="00DF314E">
        <w:rPr>
          <w:rFonts w:ascii="Times New Roman" w:eastAsia="SimSun" w:hAnsi="Times New Roman" w:cs="Times New Roman"/>
          <w:i/>
          <w:iCs/>
          <w:spacing w:val="-16"/>
          <w:sz w:val="24"/>
          <w:szCs w:val="28"/>
          <w:lang w:val="en-US" w:eastAsia="zh-CN"/>
        </w:rPr>
        <w:t>17</w:t>
      </w:r>
      <w:r w:rsidRPr="00DF314E">
        <w:rPr>
          <w:rFonts w:ascii="Times New Roman" w:eastAsia="SimSun" w:hAnsi="Times New Roman" w:cs="Times New Roman"/>
          <w:spacing w:val="-16"/>
          <w:sz w:val="24"/>
          <w:szCs w:val="28"/>
          <w:lang w:val="en-US" w:eastAsia="zh-CN"/>
        </w:rPr>
        <w:t>(4), 403–410. https://doi.org/10.31887/DCNS.2015.17.4/kmclaughlin</w:t>
      </w:r>
    </w:p>
    <w:p w14:paraId="6A261670" w14:textId="77777777" w:rsidR="00DF314E" w:rsidRPr="00992763" w:rsidRDefault="00DF314E" w:rsidP="00DF314E">
      <w:pPr>
        <w:spacing w:after="0" w:line="360" w:lineRule="auto"/>
        <w:ind w:left="567" w:hanging="567"/>
        <w:jc w:val="both"/>
        <w:rPr>
          <w:rFonts w:ascii="Times New Roman" w:eastAsia="SimSun" w:hAnsi="Times New Roman" w:cs="Times New Roman"/>
          <w:spacing w:val="-16"/>
          <w:sz w:val="24"/>
          <w:szCs w:val="28"/>
          <w:lang w:val="en-US" w:eastAsia="zh-CN"/>
        </w:rPr>
      </w:pPr>
      <w:r w:rsidRPr="00DF314E">
        <w:rPr>
          <w:rFonts w:ascii="Times New Roman" w:eastAsia="SimSun" w:hAnsi="Times New Roman" w:cs="Times New Roman"/>
          <w:spacing w:val="-16"/>
          <w:sz w:val="24"/>
          <w:szCs w:val="28"/>
          <w:lang w:val="en-US" w:eastAsia="zh-CN"/>
        </w:rPr>
        <w:t xml:space="preserve">McRae, K., &amp; Gross, J. J. (2020). Emotion regulation. </w:t>
      </w:r>
      <w:r w:rsidRPr="00DF314E">
        <w:rPr>
          <w:rFonts w:ascii="Times New Roman" w:eastAsia="SimSun" w:hAnsi="Times New Roman" w:cs="Times New Roman"/>
          <w:i/>
          <w:iCs/>
          <w:spacing w:val="-16"/>
          <w:sz w:val="24"/>
          <w:szCs w:val="28"/>
          <w:lang w:val="en-US" w:eastAsia="zh-CN"/>
        </w:rPr>
        <w:t>Emotion</w:t>
      </w:r>
      <w:r w:rsidRPr="00DF314E">
        <w:rPr>
          <w:rFonts w:ascii="Times New Roman" w:eastAsia="SimSun" w:hAnsi="Times New Roman" w:cs="Times New Roman"/>
          <w:spacing w:val="-16"/>
          <w:sz w:val="24"/>
          <w:szCs w:val="28"/>
          <w:lang w:val="en-US" w:eastAsia="zh-CN"/>
        </w:rPr>
        <w:t xml:space="preserve">, </w:t>
      </w:r>
      <w:r w:rsidRPr="00DF314E">
        <w:rPr>
          <w:rFonts w:ascii="Times New Roman" w:eastAsia="SimSun" w:hAnsi="Times New Roman" w:cs="Times New Roman"/>
          <w:i/>
          <w:iCs/>
          <w:spacing w:val="-16"/>
          <w:sz w:val="24"/>
          <w:szCs w:val="28"/>
          <w:lang w:val="en-US" w:eastAsia="zh-CN"/>
        </w:rPr>
        <w:t>20</w:t>
      </w:r>
      <w:r w:rsidRPr="00DF314E">
        <w:rPr>
          <w:rFonts w:ascii="Times New Roman" w:eastAsia="SimSun" w:hAnsi="Times New Roman" w:cs="Times New Roman"/>
          <w:spacing w:val="-16"/>
          <w:sz w:val="24"/>
          <w:szCs w:val="28"/>
          <w:lang w:val="en-US" w:eastAsia="zh-CN"/>
        </w:rPr>
        <w:t>(1), 1–9. https://doi.org/10.1037/emo0000703</w:t>
      </w:r>
    </w:p>
    <w:p w14:paraId="50B957F4" w14:textId="77777777" w:rsidR="00DF314E" w:rsidRPr="00DF314E" w:rsidRDefault="00DF314E" w:rsidP="00DF314E">
      <w:pPr>
        <w:spacing w:after="0" w:line="360" w:lineRule="auto"/>
        <w:ind w:left="567" w:hanging="567"/>
        <w:jc w:val="both"/>
        <w:rPr>
          <w:rFonts w:ascii="Times New Roman" w:eastAsia="SimSun" w:hAnsi="Times New Roman" w:cs="Times New Roman"/>
          <w:spacing w:val="-8"/>
          <w:sz w:val="24"/>
          <w:szCs w:val="28"/>
          <w:lang w:val="en-US" w:eastAsia="zh-CN"/>
        </w:rPr>
      </w:pPr>
      <w:r w:rsidRPr="00DF314E">
        <w:rPr>
          <w:rFonts w:ascii="Times New Roman" w:eastAsia="SimSun" w:hAnsi="Times New Roman" w:cs="Times New Roman"/>
          <w:spacing w:val="-8"/>
          <w:sz w:val="24"/>
          <w:szCs w:val="28"/>
          <w:lang w:val="en-US" w:eastAsia="zh-CN"/>
        </w:rPr>
        <w:t xml:space="preserve">Merriam, S. B., &amp; Tisdell, E. J. (2016). Qualitative Research: A Guide to Design and Implementation. </w:t>
      </w:r>
      <w:r w:rsidRPr="00DF314E">
        <w:rPr>
          <w:rFonts w:ascii="Times New Roman" w:eastAsia="SimSun" w:hAnsi="Times New Roman" w:cs="Times New Roman"/>
          <w:i/>
          <w:iCs/>
          <w:spacing w:val="-8"/>
          <w:sz w:val="24"/>
          <w:szCs w:val="28"/>
          <w:lang w:val="en-US" w:eastAsia="zh-CN"/>
        </w:rPr>
        <w:t>John Wiley &amp; Sons.</w:t>
      </w:r>
    </w:p>
    <w:p w14:paraId="0B0B32CA" w14:textId="77777777" w:rsidR="00DF314E" w:rsidRPr="00DF314E" w:rsidRDefault="00DF314E" w:rsidP="00DF314E">
      <w:pPr>
        <w:spacing w:after="0" w:line="360" w:lineRule="auto"/>
        <w:ind w:left="567" w:hanging="567"/>
        <w:jc w:val="both"/>
        <w:rPr>
          <w:rFonts w:ascii="Times New Roman" w:eastAsia="SimSun" w:hAnsi="Times New Roman" w:cs="Times New Roman"/>
          <w:spacing w:val="-8"/>
          <w:sz w:val="24"/>
          <w:szCs w:val="28"/>
          <w:lang w:val="en-US" w:eastAsia="zh-CN"/>
        </w:rPr>
      </w:pPr>
      <w:r w:rsidRPr="00DF314E">
        <w:rPr>
          <w:rFonts w:ascii="Times New Roman" w:eastAsia="SimSun" w:hAnsi="Times New Roman" w:cs="Times New Roman"/>
          <w:spacing w:val="-8"/>
          <w:sz w:val="24"/>
          <w:szCs w:val="28"/>
          <w:lang w:val="en-US" w:eastAsia="zh-CN"/>
        </w:rPr>
        <w:t xml:space="preserve">Mizan, M., &amp; Uce, L. (2025). Managing negative emotions in adolescent education contexts. </w:t>
      </w:r>
      <w:r w:rsidRPr="00DF314E">
        <w:rPr>
          <w:rFonts w:ascii="Times New Roman" w:eastAsia="SimSun" w:hAnsi="Times New Roman" w:cs="Times New Roman"/>
          <w:i/>
          <w:iCs/>
          <w:spacing w:val="-8"/>
          <w:sz w:val="24"/>
          <w:szCs w:val="28"/>
          <w:lang w:val="en-US" w:eastAsia="zh-CN"/>
        </w:rPr>
        <w:t>Educational Studies and Research Journal</w:t>
      </w:r>
      <w:r w:rsidRPr="00DF314E">
        <w:rPr>
          <w:rFonts w:ascii="Times New Roman" w:eastAsia="SimSun" w:hAnsi="Times New Roman" w:cs="Times New Roman"/>
          <w:spacing w:val="-8"/>
          <w:sz w:val="24"/>
          <w:szCs w:val="28"/>
          <w:lang w:val="en-US" w:eastAsia="zh-CN"/>
        </w:rPr>
        <w:t xml:space="preserve">, </w:t>
      </w:r>
      <w:r w:rsidRPr="00DF314E">
        <w:rPr>
          <w:rFonts w:ascii="Times New Roman" w:eastAsia="SimSun" w:hAnsi="Times New Roman" w:cs="Times New Roman"/>
          <w:i/>
          <w:iCs/>
          <w:spacing w:val="-8"/>
          <w:sz w:val="24"/>
          <w:szCs w:val="28"/>
          <w:lang w:val="en-US" w:eastAsia="zh-CN"/>
        </w:rPr>
        <w:t>2</w:t>
      </w:r>
      <w:r w:rsidRPr="00DF314E">
        <w:rPr>
          <w:rFonts w:ascii="Times New Roman" w:eastAsia="SimSun" w:hAnsi="Times New Roman" w:cs="Times New Roman"/>
          <w:spacing w:val="-8"/>
          <w:sz w:val="24"/>
          <w:szCs w:val="28"/>
          <w:lang w:val="en-US" w:eastAsia="zh-CN"/>
        </w:rPr>
        <w:t>(1), 37–47. https://doi.org/10.60036/ah05w331</w:t>
      </w:r>
    </w:p>
    <w:p w14:paraId="083BE32F" w14:textId="77777777" w:rsidR="00DF314E" w:rsidRPr="00DF314E" w:rsidRDefault="00DF314E" w:rsidP="00DF314E">
      <w:pPr>
        <w:spacing w:after="0" w:line="360" w:lineRule="auto"/>
        <w:ind w:left="567" w:hanging="567"/>
        <w:jc w:val="both"/>
        <w:rPr>
          <w:rFonts w:ascii="Times New Roman" w:eastAsia="SimSun" w:hAnsi="Times New Roman" w:cs="Times New Roman"/>
          <w:spacing w:val="-8"/>
          <w:sz w:val="24"/>
          <w:szCs w:val="28"/>
          <w:lang w:val="en-US" w:eastAsia="zh-CN"/>
        </w:rPr>
      </w:pPr>
      <w:r w:rsidRPr="00DF314E">
        <w:rPr>
          <w:rFonts w:ascii="Times New Roman" w:eastAsia="SimSun" w:hAnsi="Times New Roman" w:cs="Times New Roman"/>
          <w:spacing w:val="-8"/>
          <w:sz w:val="24"/>
          <w:szCs w:val="28"/>
          <w:lang w:val="en-US" w:eastAsia="zh-CN"/>
        </w:rPr>
        <w:t xml:space="preserve">Nashon, R., Metta, E., &amp; Chande-Mallya, R. (2025). Development of adolescents as sources of conflict between students and teachers in secondary schools. </w:t>
      </w:r>
      <w:r w:rsidRPr="00DF314E">
        <w:rPr>
          <w:rFonts w:ascii="Times New Roman" w:eastAsia="SimSun" w:hAnsi="Times New Roman" w:cs="Times New Roman"/>
          <w:i/>
          <w:iCs/>
          <w:spacing w:val="-8"/>
          <w:sz w:val="24"/>
          <w:szCs w:val="28"/>
          <w:lang w:val="en-US" w:eastAsia="zh-CN"/>
        </w:rPr>
        <w:t>Journal of Humanities and Social Sciences Research Practice</w:t>
      </w:r>
      <w:r w:rsidRPr="00DF314E">
        <w:rPr>
          <w:rFonts w:ascii="Times New Roman" w:eastAsia="SimSun" w:hAnsi="Times New Roman" w:cs="Times New Roman"/>
          <w:spacing w:val="-8"/>
          <w:sz w:val="24"/>
          <w:szCs w:val="28"/>
          <w:lang w:val="en-US" w:eastAsia="zh-CN"/>
        </w:rPr>
        <w:t xml:space="preserve">, </w:t>
      </w:r>
      <w:r w:rsidRPr="00DF314E">
        <w:rPr>
          <w:rFonts w:ascii="Times New Roman" w:eastAsia="SimSun" w:hAnsi="Times New Roman" w:cs="Times New Roman"/>
          <w:i/>
          <w:iCs/>
          <w:spacing w:val="-8"/>
          <w:sz w:val="24"/>
          <w:szCs w:val="28"/>
          <w:lang w:val="en-US" w:eastAsia="zh-CN"/>
        </w:rPr>
        <w:t>1</w:t>
      </w:r>
      <w:r w:rsidRPr="00DF314E">
        <w:rPr>
          <w:rFonts w:ascii="Times New Roman" w:eastAsia="SimSun" w:hAnsi="Times New Roman" w:cs="Times New Roman"/>
          <w:spacing w:val="-8"/>
          <w:sz w:val="24"/>
          <w:szCs w:val="28"/>
          <w:lang w:val="en-US" w:eastAsia="zh-CN"/>
        </w:rPr>
        <w:t>(1). https://journals.iaa.ac.tz/index.php/jhssrp/article/view/508</w:t>
      </w:r>
    </w:p>
    <w:p w14:paraId="4301BE6D" w14:textId="77777777" w:rsidR="00DF314E" w:rsidRPr="00DF314E" w:rsidRDefault="00DF314E" w:rsidP="00DF314E">
      <w:pPr>
        <w:spacing w:after="0" w:line="360" w:lineRule="auto"/>
        <w:ind w:left="567" w:hanging="567"/>
        <w:jc w:val="both"/>
        <w:rPr>
          <w:rFonts w:ascii="Times New Roman" w:eastAsia="SimSun" w:hAnsi="Times New Roman" w:cs="Times New Roman"/>
          <w:spacing w:val="-8"/>
          <w:sz w:val="24"/>
          <w:szCs w:val="28"/>
          <w:lang w:val="en-US" w:eastAsia="zh-CN"/>
        </w:rPr>
      </w:pPr>
      <w:r w:rsidRPr="00DF314E">
        <w:rPr>
          <w:rFonts w:ascii="Times New Roman" w:eastAsia="SimSun" w:hAnsi="Times New Roman" w:cs="Times New Roman"/>
          <w:sz w:val="24"/>
          <w:szCs w:val="28"/>
          <w:lang w:val="en-US" w:eastAsia="zh-CN"/>
        </w:rPr>
        <w:t xml:space="preserve">Nurmila, N., Syauky, A., &amp; Jannah, M. (2025). Psychosocial analysis of adolescent negative behaviour in educational settings. </w:t>
      </w:r>
      <w:r w:rsidRPr="00DF314E">
        <w:rPr>
          <w:rFonts w:ascii="Times New Roman" w:eastAsia="SimSun" w:hAnsi="Times New Roman" w:cs="Times New Roman"/>
          <w:i/>
          <w:iCs/>
          <w:sz w:val="24"/>
          <w:szCs w:val="28"/>
          <w:lang w:val="en-US" w:eastAsia="zh-CN"/>
        </w:rPr>
        <w:t>NUSRA : Jurnal Penelitian Dan Ilmu Pendidikan</w:t>
      </w:r>
      <w:r w:rsidRPr="00DF314E">
        <w:rPr>
          <w:rFonts w:ascii="Times New Roman" w:eastAsia="SimSun" w:hAnsi="Times New Roman" w:cs="Times New Roman"/>
          <w:sz w:val="24"/>
          <w:szCs w:val="28"/>
          <w:lang w:val="en-US" w:eastAsia="zh-CN"/>
        </w:rPr>
        <w:t xml:space="preserve">, </w:t>
      </w:r>
      <w:r w:rsidRPr="00DF314E">
        <w:rPr>
          <w:rFonts w:ascii="Times New Roman" w:eastAsia="SimSun" w:hAnsi="Times New Roman" w:cs="Times New Roman"/>
          <w:i/>
          <w:iCs/>
          <w:sz w:val="24"/>
          <w:szCs w:val="28"/>
          <w:lang w:val="en-US" w:eastAsia="zh-CN"/>
        </w:rPr>
        <w:t>6</w:t>
      </w:r>
      <w:r w:rsidRPr="00DF314E">
        <w:rPr>
          <w:rFonts w:ascii="Times New Roman" w:eastAsia="SimSun" w:hAnsi="Times New Roman" w:cs="Times New Roman"/>
          <w:sz w:val="24"/>
          <w:szCs w:val="28"/>
          <w:lang w:val="en-US" w:eastAsia="zh-CN"/>
        </w:rPr>
        <w:t>(3), 453–467. https://doi.org/10.55681/nusra.v6i3.3752</w:t>
      </w:r>
    </w:p>
    <w:p w14:paraId="4E9A6E50" w14:textId="77777777" w:rsidR="00DF314E" w:rsidRPr="00992763" w:rsidRDefault="00DF314E" w:rsidP="00DF314E">
      <w:pPr>
        <w:spacing w:after="0" w:line="360" w:lineRule="auto"/>
        <w:ind w:left="567" w:hanging="567"/>
        <w:jc w:val="both"/>
        <w:rPr>
          <w:rFonts w:ascii="Times New Roman" w:eastAsia="SimSun" w:hAnsi="Times New Roman" w:cs="Times New Roman"/>
          <w:spacing w:val="-14"/>
          <w:sz w:val="24"/>
          <w:szCs w:val="28"/>
          <w:lang w:val="en-US" w:eastAsia="zh-CN"/>
        </w:rPr>
      </w:pPr>
      <w:r w:rsidRPr="00DF314E">
        <w:rPr>
          <w:rFonts w:ascii="Times New Roman" w:eastAsia="SimSun" w:hAnsi="Times New Roman" w:cs="Times New Roman"/>
          <w:spacing w:val="-14"/>
          <w:sz w:val="24"/>
          <w:szCs w:val="28"/>
          <w:lang w:val="en-US" w:eastAsia="zh-CN"/>
        </w:rPr>
        <w:lastRenderedPageBreak/>
        <w:t xml:space="preserve">Organisation for Economic Co-operation and Development. (2021). Beyond academic learning: First results from the survey of social and emotional skills. </w:t>
      </w:r>
      <w:r w:rsidRPr="00DF314E">
        <w:rPr>
          <w:rFonts w:ascii="Times New Roman" w:eastAsia="SimSun" w:hAnsi="Times New Roman" w:cs="Times New Roman"/>
          <w:i/>
          <w:iCs/>
          <w:spacing w:val="-14"/>
          <w:sz w:val="24"/>
          <w:szCs w:val="28"/>
          <w:lang w:val="en-US" w:eastAsia="zh-CN"/>
        </w:rPr>
        <w:t>OECD Publishing</w:t>
      </w:r>
      <w:r w:rsidRPr="00DF314E">
        <w:rPr>
          <w:rFonts w:ascii="Times New Roman" w:eastAsia="SimSun" w:hAnsi="Times New Roman" w:cs="Times New Roman"/>
          <w:spacing w:val="-14"/>
          <w:sz w:val="24"/>
          <w:szCs w:val="28"/>
          <w:lang w:val="en-US" w:eastAsia="zh-CN"/>
        </w:rPr>
        <w:t>. https://doi.org/10.1787/92a11084-en</w:t>
      </w:r>
    </w:p>
    <w:p w14:paraId="3AF17497" w14:textId="77777777" w:rsidR="00DF314E" w:rsidRPr="00DF314E" w:rsidRDefault="00DF314E" w:rsidP="00DF314E">
      <w:pPr>
        <w:spacing w:after="0" w:line="360" w:lineRule="auto"/>
        <w:ind w:left="567" w:hanging="567"/>
        <w:jc w:val="both"/>
        <w:rPr>
          <w:rFonts w:ascii="Times New Roman" w:eastAsia="SimSun" w:hAnsi="Times New Roman" w:cs="Times New Roman"/>
          <w:spacing w:val="-8"/>
          <w:sz w:val="24"/>
          <w:szCs w:val="28"/>
          <w:lang w:val="en-US" w:eastAsia="zh-CN"/>
        </w:rPr>
      </w:pPr>
      <w:r w:rsidRPr="00DF314E">
        <w:rPr>
          <w:rFonts w:ascii="Times New Roman" w:eastAsia="SimSun" w:hAnsi="Times New Roman" w:cs="Times New Roman"/>
          <w:sz w:val="24"/>
          <w:szCs w:val="28"/>
          <w:lang w:val="en-US" w:eastAsia="zh-CN"/>
        </w:rPr>
        <w:t xml:space="preserve">Patton, M. Q. (2015). Qualitative Research &amp; Evaluation Methods: Integrating Theory and Practice. </w:t>
      </w:r>
      <w:r w:rsidRPr="00DF314E">
        <w:rPr>
          <w:rFonts w:ascii="Times New Roman" w:eastAsia="SimSun" w:hAnsi="Times New Roman" w:cs="Times New Roman"/>
          <w:i/>
          <w:iCs/>
          <w:sz w:val="24"/>
          <w:szCs w:val="28"/>
          <w:lang w:val="en-US" w:eastAsia="zh-CN"/>
        </w:rPr>
        <w:t>Sage Publications</w:t>
      </w:r>
      <w:r w:rsidRPr="00DF314E">
        <w:rPr>
          <w:rFonts w:ascii="Times New Roman" w:eastAsia="SimSun" w:hAnsi="Times New Roman" w:cs="Times New Roman"/>
          <w:sz w:val="24"/>
          <w:szCs w:val="28"/>
          <w:lang w:val="en-US" w:eastAsia="zh-CN"/>
        </w:rPr>
        <w:t>.</w:t>
      </w:r>
    </w:p>
    <w:p w14:paraId="564F4630" w14:textId="77777777" w:rsidR="00DF314E" w:rsidRPr="00992763" w:rsidRDefault="00DF314E" w:rsidP="00DF314E">
      <w:pPr>
        <w:spacing w:after="0" w:line="360" w:lineRule="auto"/>
        <w:ind w:left="567" w:hanging="567"/>
        <w:jc w:val="both"/>
        <w:rPr>
          <w:rFonts w:ascii="Times New Roman" w:eastAsia="SimSun" w:hAnsi="Times New Roman" w:cs="Times New Roman"/>
          <w:spacing w:val="-8"/>
          <w:sz w:val="24"/>
          <w:szCs w:val="28"/>
          <w:lang w:val="en-US" w:eastAsia="zh-CN"/>
        </w:rPr>
      </w:pPr>
      <w:r w:rsidRPr="00DF314E">
        <w:rPr>
          <w:rFonts w:ascii="Times New Roman" w:eastAsia="SimSun" w:hAnsi="Times New Roman" w:cs="Times New Roman"/>
          <w:spacing w:val="-8"/>
          <w:sz w:val="24"/>
          <w:szCs w:val="28"/>
          <w:lang w:val="en-US" w:eastAsia="zh-CN"/>
        </w:rPr>
        <w:t xml:space="preserve">Putri, W., Kurniawan, M. A., &amp; Nuraini. (2023). The role of teachers as educators in schools. </w:t>
      </w:r>
      <w:r w:rsidRPr="00DF314E">
        <w:rPr>
          <w:rFonts w:ascii="Times New Roman" w:eastAsia="SimSun" w:hAnsi="Times New Roman" w:cs="Times New Roman"/>
          <w:i/>
          <w:iCs/>
          <w:spacing w:val="-8"/>
          <w:sz w:val="24"/>
          <w:szCs w:val="28"/>
          <w:lang w:val="en-US" w:eastAsia="zh-CN"/>
        </w:rPr>
        <w:t>Ar-Rihlah: Jurnal Inovasi Pengembangan Pendidikan Islam</w:t>
      </w:r>
      <w:r w:rsidRPr="00DF314E">
        <w:rPr>
          <w:rFonts w:ascii="Times New Roman" w:eastAsia="SimSun" w:hAnsi="Times New Roman" w:cs="Times New Roman"/>
          <w:spacing w:val="-8"/>
          <w:sz w:val="24"/>
          <w:szCs w:val="28"/>
          <w:lang w:val="en-US" w:eastAsia="zh-CN"/>
        </w:rPr>
        <w:t xml:space="preserve">, </w:t>
      </w:r>
      <w:r w:rsidRPr="00DF314E">
        <w:rPr>
          <w:rFonts w:ascii="Times New Roman" w:eastAsia="SimSun" w:hAnsi="Times New Roman" w:cs="Times New Roman"/>
          <w:i/>
          <w:iCs/>
          <w:spacing w:val="-8"/>
          <w:sz w:val="24"/>
          <w:szCs w:val="28"/>
          <w:lang w:val="en-US" w:eastAsia="zh-CN"/>
        </w:rPr>
        <w:t>8</w:t>
      </w:r>
      <w:r w:rsidRPr="00DF314E">
        <w:rPr>
          <w:rFonts w:ascii="Times New Roman" w:eastAsia="SimSun" w:hAnsi="Times New Roman" w:cs="Times New Roman"/>
          <w:spacing w:val="-8"/>
          <w:sz w:val="24"/>
          <w:szCs w:val="28"/>
          <w:lang w:val="en-US" w:eastAsia="zh-CN"/>
        </w:rPr>
        <w:t>(2), 117–127. https://doi.org/10.33507/ar-rihlah.v8i2.1769</w:t>
      </w:r>
    </w:p>
    <w:p w14:paraId="44972F65" w14:textId="77777777" w:rsidR="00DF314E" w:rsidRPr="00DF314E" w:rsidRDefault="00DF314E" w:rsidP="00DF314E">
      <w:pPr>
        <w:spacing w:after="0" w:line="360" w:lineRule="auto"/>
        <w:ind w:left="567" w:hanging="567"/>
        <w:jc w:val="both"/>
        <w:rPr>
          <w:rFonts w:ascii="Times New Roman" w:eastAsia="SimSun" w:hAnsi="Times New Roman" w:cs="Times New Roman"/>
          <w:spacing w:val="-8"/>
          <w:sz w:val="24"/>
          <w:szCs w:val="28"/>
          <w:lang w:val="en-US" w:eastAsia="zh-CN"/>
        </w:rPr>
      </w:pPr>
      <w:r w:rsidRPr="00DF314E">
        <w:rPr>
          <w:rFonts w:ascii="Times New Roman" w:eastAsia="SimSun" w:hAnsi="Times New Roman" w:cs="Times New Roman"/>
          <w:spacing w:val="-4"/>
          <w:sz w:val="24"/>
          <w:szCs w:val="28"/>
          <w:lang w:val="en-US" w:eastAsia="zh-CN"/>
        </w:rPr>
        <w:t xml:space="preserve">Rohmatillah, N., Qomaruddin, Q., Ahmad, N. F., &amp; Fadhilah, N. F. (2024). Social media and adolescent psychological well-being in Indonesia. </w:t>
      </w:r>
      <w:r w:rsidRPr="00DF314E">
        <w:rPr>
          <w:rFonts w:ascii="Times New Roman" w:eastAsia="SimSun" w:hAnsi="Times New Roman" w:cs="Times New Roman"/>
          <w:i/>
          <w:iCs/>
          <w:spacing w:val="-4"/>
          <w:sz w:val="24"/>
          <w:szCs w:val="28"/>
          <w:lang w:val="en-US" w:eastAsia="zh-CN"/>
        </w:rPr>
        <w:t>TA’LIM : Jurnal Studi Pendidikan Islam</w:t>
      </w:r>
      <w:r w:rsidRPr="00DF314E">
        <w:rPr>
          <w:rFonts w:ascii="Times New Roman" w:eastAsia="SimSun" w:hAnsi="Times New Roman" w:cs="Times New Roman"/>
          <w:spacing w:val="-4"/>
          <w:sz w:val="24"/>
          <w:szCs w:val="28"/>
          <w:lang w:val="en-US" w:eastAsia="zh-CN"/>
        </w:rPr>
        <w:t xml:space="preserve">, </w:t>
      </w:r>
      <w:r w:rsidRPr="00DF314E">
        <w:rPr>
          <w:rFonts w:ascii="Times New Roman" w:eastAsia="SimSun" w:hAnsi="Times New Roman" w:cs="Times New Roman"/>
          <w:i/>
          <w:iCs/>
          <w:spacing w:val="-4"/>
          <w:sz w:val="24"/>
          <w:szCs w:val="28"/>
          <w:lang w:val="en-US" w:eastAsia="zh-CN"/>
        </w:rPr>
        <w:t>7</w:t>
      </w:r>
      <w:r w:rsidRPr="00DF314E">
        <w:rPr>
          <w:rFonts w:ascii="Times New Roman" w:eastAsia="SimSun" w:hAnsi="Times New Roman" w:cs="Times New Roman"/>
          <w:spacing w:val="-4"/>
          <w:sz w:val="24"/>
          <w:szCs w:val="28"/>
          <w:lang w:val="en-US" w:eastAsia="zh-CN"/>
        </w:rPr>
        <w:t>(1), 154–165. https://doi.org/10.52166/talim.v7i1.6292</w:t>
      </w:r>
    </w:p>
    <w:p w14:paraId="5516475E" w14:textId="77777777" w:rsidR="00DF314E" w:rsidRPr="00DF314E" w:rsidRDefault="00DF314E" w:rsidP="00DF314E">
      <w:pPr>
        <w:spacing w:after="0" w:line="360" w:lineRule="auto"/>
        <w:ind w:left="567" w:hanging="567"/>
        <w:jc w:val="both"/>
        <w:rPr>
          <w:rFonts w:ascii="Times New Roman" w:eastAsia="SimSun" w:hAnsi="Times New Roman" w:cs="Times New Roman"/>
          <w:spacing w:val="-8"/>
          <w:sz w:val="24"/>
          <w:szCs w:val="28"/>
          <w:lang w:val="en-US" w:eastAsia="zh-CN"/>
        </w:rPr>
      </w:pPr>
      <w:r w:rsidRPr="00DF314E">
        <w:rPr>
          <w:rFonts w:ascii="Times New Roman" w:eastAsia="SimSun" w:hAnsi="Times New Roman" w:cs="Times New Roman"/>
          <w:spacing w:val="-8"/>
          <w:sz w:val="24"/>
          <w:szCs w:val="28"/>
          <w:lang w:val="en-US" w:eastAsia="zh-CN"/>
        </w:rPr>
        <w:t xml:space="preserve">Rueger, S. Y., Malecki, C. K., Pyun, Y., Aycock, C., &amp; Coyle, S. (2016). A meta-analytic review of the association between perceived social support and depression in childhood and adolescence. </w:t>
      </w:r>
      <w:r w:rsidRPr="00DF314E">
        <w:rPr>
          <w:rFonts w:ascii="Times New Roman" w:eastAsia="SimSun" w:hAnsi="Times New Roman" w:cs="Times New Roman"/>
          <w:i/>
          <w:iCs/>
          <w:spacing w:val="-8"/>
          <w:sz w:val="24"/>
          <w:szCs w:val="28"/>
          <w:lang w:val="en-US" w:eastAsia="zh-CN"/>
        </w:rPr>
        <w:t>Psychological Bulletin</w:t>
      </w:r>
      <w:r w:rsidRPr="00DF314E">
        <w:rPr>
          <w:rFonts w:ascii="Times New Roman" w:eastAsia="SimSun" w:hAnsi="Times New Roman" w:cs="Times New Roman"/>
          <w:spacing w:val="-8"/>
          <w:sz w:val="24"/>
          <w:szCs w:val="28"/>
          <w:lang w:val="en-US" w:eastAsia="zh-CN"/>
        </w:rPr>
        <w:t xml:space="preserve">, </w:t>
      </w:r>
      <w:r w:rsidRPr="00DF314E">
        <w:rPr>
          <w:rFonts w:ascii="Times New Roman" w:eastAsia="SimSun" w:hAnsi="Times New Roman" w:cs="Times New Roman"/>
          <w:i/>
          <w:iCs/>
          <w:spacing w:val="-8"/>
          <w:sz w:val="24"/>
          <w:szCs w:val="28"/>
          <w:lang w:val="en-US" w:eastAsia="zh-CN"/>
        </w:rPr>
        <w:t>142</w:t>
      </w:r>
      <w:r w:rsidRPr="00DF314E">
        <w:rPr>
          <w:rFonts w:ascii="Times New Roman" w:eastAsia="SimSun" w:hAnsi="Times New Roman" w:cs="Times New Roman"/>
          <w:spacing w:val="-8"/>
          <w:sz w:val="24"/>
          <w:szCs w:val="28"/>
          <w:lang w:val="en-US" w:eastAsia="zh-CN"/>
        </w:rPr>
        <w:t>(10), 1017–1067. https://doi.org/10.1037/bul0000058</w:t>
      </w:r>
    </w:p>
    <w:p w14:paraId="65DE9BF4" w14:textId="77777777" w:rsidR="00DF314E" w:rsidRPr="00992763" w:rsidRDefault="00DF314E" w:rsidP="00DF314E">
      <w:pPr>
        <w:spacing w:after="0" w:line="360" w:lineRule="auto"/>
        <w:ind w:left="567" w:hanging="567"/>
        <w:jc w:val="both"/>
        <w:rPr>
          <w:rFonts w:ascii="Times New Roman" w:eastAsia="SimSun" w:hAnsi="Times New Roman" w:cs="Times New Roman"/>
          <w:spacing w:val="-6"/>
          <w:sz w:val="24"/>
          <w:szCs w:val="28"/>
          <w:lang w:val="en-US" w:eastAsia="zh-CN"/>
        </w:rPr>
      </w:pPr>
      <w:r w:rsidRPr="00DF314E">
        <w:rPr>
          <w:rFonts w:ascii="Times New Roman" w:eastAsia="SimSun" w:hAnsi="Times New Roman" w:cs="Times New Roman"/>
          <w:spacing w:val="-6"/>
          <w:sz w:val="24"/>
          <w:szCs w:val="28"/>
          <w:lang w:val="en-US" w:eastAsia="zh-CN"/>
        </w:rPr>
        <w:t xml:space="preserve">Sawyer, S., Azzopardi, P., Wickremarathne, D., &amp; Patton, G. (2018). The age of adolescence. </w:t>
      </w:r>
      <w:r w:rsidRPr="00DF314E">
        <w:rPr>
          <w:rFonts w:ascii="Times New Roman" w:eastAsia="SimSun" w:hAnsi="Times New Roman" w:cs="Times New Roman"/>
          <w:i/>
          <w:iCs/>
          <w:spacing w:val="-6"/>
          <w:sz w:val="24"/>
          <w:szCs w:val="28"/>
          <w:lang w:val="en-US" w:eastAsia="zh-CN"/>
        </w:rPr>
        <w:t>The Lancet Child &amp; Adolescent Health</w:t>
      </w:r>
      <w:r w:rsidRPr="00DF314E">
        <w:rPr>
          <w:rFonts w:ascii="Times New Roman" w:eastAsia="SimSun" w:hAnsi="Times New Roman" w:cs="Times New Roman"/>
          <w:spacing w:val="-6"/>
          <w:sz w:val="24"/>
          <w:szCs w:val="28"/>
          <w:lang w:val="en-US" w:eastAsia="zh-CN"/>
        </w:rPr>
        <w:t xml:space="preserve">, </w:t>
      </w:r>
      <w:r w:rsidRPr="00DF314E">
        <w:rPr>
          <w:rFonts w:ascii="Times New Roman" w:eastAsia="SimSun" w:hAnsi="Times New Roman" w:cs="Times New Roman"/>
          <w:i/>
          <w:iCs/>
          <w:spacing w:val="-6"/>
          <w:sz w:val="24"/>
          <w:szCs w:val="28"/>
          <w:lang w:val="en-US" w:eastAsia="zh-CN"/>
        </w:rPr>
        <w:t>2</w:t>
      </w:r>
      <w:r w:rsidRPr="00DF314E">
        <w:rPr>
          <w:rFonts w:ascii="Times New Roman" w:eastAsia="SimSun" w:hAnsi="Times New Roman" w:cs="Times New Roman"/>
          <w:spacing w:val="-6"/>
          <w:sz w:val="24"/>
          <w:szCs w:val="28"/>
          <w:lang w:val="en-US" w:eastAsia="zh-CN"/>
        </w:rPr>
        <w:t>. https://doi.org/10.1016/S2352-4642(18)30022-1</w:t>
      </w:r>
    </w:p>
    <w:p w14:paraId="508FD384" w14:textId="77777777" w:rsidR="00DF314E" w:rsidRPr="00992763" w:rsidRDefault="00DF314E" w:rsidP="00DF314E">
      <w:pPr>
        <w:spacing w:after="0" w:line="360" w:lineRule="auto"/>
        <w:ind w:left="567" w:hanging="567"/>
        <w:jc w:val="both"/>
        <w:rPr>
          <w:rFonts w:ascii="Times New Roman" w:eastAsia="SimSun" w:hAnsi="Times New Roman" w:cs="Times New Roman"/>
          <w:spacing w:val="-14"/>
          <w:sz w:val="24"/>
          <w:szCs w:val="28"/>
          <w:lang w:val="en-US" w:eastAsia="zh-CN"/>
        </w:rPr>
      </w:pPr>
      <w:r w:rsidRPr="00DF314E">
        <w:rPr>
          <w:rFonts w:ascii="Times New Roman" w:eastAsia="SimSun" w:hAnsi="Times New Roman" w:cs="Times New Roman"/>
          <w:spacing w:val="-14"/>
          <w:sz w:val="24"/>
          <w:szCs w:val="28"/>
          <w:lang w:val="en-US" w:eastAsia="zh-CN"/>
        </w:rPr>
        <w:t xml:space="preserve">Schwartz, S. J., Hardy, S. A., Zamboanga, B. L., Meca, A., Waterman, A. S., Picariello, S., Luyckx, K., Crocetti, E., Kim, S. Y., Brittian, A. S., Roberts, S. E., Whitbourne, S. K., Ritchie, R. A., Brown, E. J., &amp; Forthun, L. F. (2015). Identity in young adulthood: Links with mental health and risky behavior. </w:t>
      </w:r>
      <w:r w:rsidRPr="00DF314E">
        <w:rPr>
          <w:rFonts w:ascii="Times New Roman" w:eastAsia="SimSun" w:hAnsi="Times New Roman" w:cs="Times New Roman"/>
          <w:i/>
          <w:iCs/>
          <w:spacing w:val="-14"/>
          <w:sz w:val="24"/>
          <w:szCs w:val="28"/>
          <w:lang w:val="en-US" w:eastAsia="zh-CN"/>
        </w:rPr>
        <w:t>Journal of Applied Developmental Psychology</w:t>
      </w:r>
      <w:r w:rsidRPr="00DF314E">
        <w:rPr>
          <w:rFonts w:ascii="Times New Roman" w:eastAsia="SimSun" w:hAnsi="Times New Roman" w:cs="Times New Roman"/>
          <w:spacing w:val="-14"/>
          <w:sz w:val="24"/>
          <w:szCs w:val="28"/>
          <w:lang w:val="en-US" w:eastAsia="zh-CN"/>
        </w:rPr>
        <w:t xml:space="preserve">, </w:t>
      </w:r>
      <w:r w:rsidRPr="00DF314E">
        <w:rPr>
          <w:rFonts w:ascii="Times New Roman" w:eastAsia="SimSun" w:hAnsi="Times New Roman" w:cs="Times New Roman"/>
          <w:i/>
          <w:iCs/>
          <w:spacing w:val="-14"/>
          <w:sz w:val="24"/>
          <w:szCs w:val="28"/>
          <w:lang w:val="en-US" w:eastAsia="zh-CN"/>
        </w:rPr>
        <w:t>36</w:t>
      </w:r>
      <w:r w:rsidRPr="00DF314E">
        <w:rPr>
          <w:rFonts w:ascii="Times New Roman" w:eastAsia="SimSun" w:hAnsi="Times New Roman" w:cs="Times New Roman"/>
          <w:spacing w:val="-14"/>
          <w:sz w:val="24"/>
          <w:szCs w:val="28"/>
          <w:lang w:val="en-US" w:eastAsia="zh-CN"/>
        </w:rPr>
        <w:t>, 39–52. https://doi.org/10.1016/j.appdev.2014.10.001</w:t>
      </w:r>
    </w:p>
    <w:p w14:paraId="2817DC89" w14:textId="77777777" w:rsidR="00DF314E" w:rsidRPr="00992763" w:rsidRDefault="00DF314E" w:rsidP="00DF314E">
      <w:pPr>
        <w:spacing w:after="0" w:line="360" w:lineRule="auto"/>
        <w:ind w:left="567" w:hanging="567"/>
        <w:jc w:val="both"/>
        <w:rPr>
          <w:rFonts w:ascii="Times New Roman" w:eastAsia="SimSun" w:hAnsi="Times New Roman" w:cs="Times New Roman"/>
          <w:spacing w:val="-8"/>
          <w:sz w:val="24"/>
          <w:szCs w:val="28"/>
          <w:lang w:val="en-US" w:eastAsia="zh-CN"/>
        </w:rPr>
      </w:pPr>
      <w:r w:rsidRPr="00DF314E">
        <w:rPr>
          <w:rFonts w:ascii="Times New Roman" w:eastAsia="SimSun" w:hAnsi="Times New Roman" w:cs="Times New Roman"/>
          <w:spacing w:val="-8"/>
          <w:sz w:val="24"/>
          <w:szCs w:val="28"/>
          <w:lang w:val="en-US" w:eastAsia="zh-CN"/>
        </w:rPr>
        <w:t xml:space="preserve">Silvers, J. A. (2016). Adolescence as a pivotal period for emotion regulation development. </w:t>
      </w:r>
      <w:r w:rsidRPr="00DF314E">
        <w:rPr>
          <w:rFonts w:ascii="Times New Roman" w:eastAsia="SimSun" w:hAnsi="Times New Roman" w:cs="Times New Roman"/>
          <w:i/>
          <w:iCs/>
          <w:spacing w:val="-8"/>
          <w:sz w:val="24"/>
          <w:szCs w:val="28"/>
          <w:lang w:val="en-US" w:eastAsia="zh-CN"/>
        </w:rPr>
        <w:t>Current Opinion in Psychology</w:t>
      </w:r>
      <w:r w:rsidRPr="00DF314E">
        <w:rPr>
          <w:rFonts w:ascii="Times New Roman" w:eastAsia="SimSun" w:hAnsi="Times New Roman" w:cs="Times New Roman"/>
          <w:spacing w:val="-8"/>
          <w:sz w:val="24"/>
          <w:szCs w:val="28"/>
          <w:lang w:val="en-US" w:eastAsia="zh-CN"/>
        </w:rPr>
        <w:t xml:space="preserve">, </w:t>
      </w:r>
      <w:r w:rsidRPr="00DF314E">
        <w:rPr>
          <w:rFonts w:ascii="Times New Roman" w:eastAsia="SimSun" w:hAnsi="Times New Roman" w:cs="Times New Roman"/>
          <w:i/>
          <w:iCs/>
          <w:spacing w:val="-8"/>
          <w:sz w:val="24"/>
          <w:szCs w:val="28"/>
          <w:lang w:val="en-US" w:eastAsia="zh-CN"/>
        </w:rPr>
        <w:t>44</w:t>
      </w:r>
      <w:r w:rsidRPr="00DF314E">
        <w:rPr>
          <w:rFonts w:ascii="Times New Roman" w:eastAsia="SimSun" w:hAnsi="Times New Roman" w:cs="Times New Roman"/>
          <w:spacing w:val="-8"/>
          <w:sz w:val="24"/>
          <w:szCs w:val="28"/>
          <w:lang w:val="en-US" w:eastAsia="zh-CN"/>
        </w:rPr>
        <w:t>, 258–263. https://doi.org/10.1016/j.copsyc.2021.09.023</w:t>
      </w:r>
    </w:p>
    <w:p w14:paraId="11F669A0" w14:textId="77777777" w:rsidR="00DF314E" w:rsidRPr="00DF314E" w:rsidRDefault="00DF314E" w:rsidP="00DF314E">
      <w:pPr>
        <w:spacing w:after="0" w:line="360" w:lineRule="auto"/>
        <w:ind w:left="567" w:hanging="567"/>
        <w:jc w:val="both"/>
        <w:rPr>
          <w:rFonts w:ascii="Times New Roman" w:eastAsia="SimSun" w:hAnsi="Times New Roman" w:cs="Times New Roman"/>
          <w:spacing w:val="-8"/>
          <w:sz w:val="24"/>
          <w:szCs w:val="28"/>
          <w:lang w:val="en-US" w:eastAsia="zh-CN"/>
        </w:rPr>
      </w:pPr>
      <w:r w:rsidRPr="00DF314E">
        <w:rPr>
          <w:rFonts w:ascii="Times New Roman" w:eastAsia="SimSun" w:hAnsi="Times New Roman" w:cs="Times New Roman"/>
          <w:sz w:val="24"/>
          <w:szCs w:val="28"/>
          <w:lang w:val="en-US" w:eastAsia="zh-CN"/>
        </w:rPr>
        <w:t xml:space="preserve">Somerville, L. H., Jones, R. M., &amp; Casey, B. J. (2010). A time of change: Behavioral and neural correlates of adolescent sensitivity to appetitive and aversive environmental cues. </w:t>
      </w:r>
      <w:r w:rsidRPr="00DF314E">
        <w:rPr>
          <w:rFonts w:ascii="Times New Roman" w:eastAsia="SimSun" w:hAnsi="Times New Roman" w:cs="Times New Roman"/>
          <w:i/>
          <w:iCs/>
          <w:sz w:val="24"/>
          <w:szCs w:val="28"/>
          <w:lang w:val="en-US" w:eastAsia="zh-CN"/>
        </w:rPr>
        <w:t>Brain and Cognition</w:t>
      </w:r>
      <w:r w:rsidRPr="00DF314E">
        <w:rPr>
          <w:rFonts w:ascii="Times New Roman" w:eastAsia="SimSun" w:hAnsi="Times New Roman" w:cs="Times New Roman"/>
          <w:sz w:val="24"/>
          <w:szCs w:val="28"/>
          <w:lang w:val="en-US" w:eastAsia="zh-CN"/>
        </w:rPr>
        <w:t xml:space="preserve">, </w:t>
      </w:r>
      <w:r w:rsidRPr="00DF314E">
        <w:rPr>
          <w:rFonts w:ascii="Times New Roman" w:eastAsia="SimSun" w:hAnsi="Times New Roman" w:cs="Times New Roman"/>
          <w:i/>
          <w:iCs/>
          <w:sz w:val="24"/>
          <w:szCs w:val="28"/>
          <w:lang w:val="en-US" w:eastAsia="zh-CN"/>
        </w:rPr>
        <w:t>72</w:t>
      </w:r>
      <w:r w:rsidRPr="00DF314E">
        <w:rPr>
          <w:rFonts w:ascii="Times New Roman" w:eastAsia="SimSun" w:hAnsi="Times New Roman" w:cs="Times New Roman"/>
          <w:sz w:val="24"/>
          <w:szCs w:val="28"/>
          <w:lang w:val="en-US" w:eastAsia="zh-CN"/>
        </w:rPr>
        <w:t>(1), 124–133. https://doi.org/10.1016/j.bandc.2009.07.003</w:t>
      </w:r>
    </w:p>
    <w:p w14:paraId="76AE2B28" w14:textId="77777777" w:rsidR="00DF314E" w:rsidRPr="00DF314E" w:rsidRDefault="00DF314E" w:rsidP="00DF314E">
      <w:pPr>
        <w:spacing w:after="0" w:line="360" w:lineRule="auto"/>
        <w:ind w:left="567" w:hanging="567"/>
        <w:jc w:val="both"/>
        <w:rPr>
          <w:rFonts w:ascii="Times New Roman" w:eastAsia="SimSun" w:hAnsi="Times New Roman" w:cs="Times New Roman"/>
          <w:spacing w:val="-8"/>
          <w:sz w:val="24"/>
          <w:szCs w:val="28"/>
          <w:lang w:val="en-US" w:eastAsia="zh-CN"/>
        </w:rPr>
      </w:pPr>
      <w:r w:rsidRPr="00DF314E">
        <w:rPr>
          <w:rFonts w:ascii="Times New Roman" w:eastAsia="SimSun" w:hAnsi="Times New Roman" w:cs="Times New Roman"/>
          <w:sz w:val="24"/>
          <w:szCs w:val="28"/>
          <w:lang w:val="en-US" w:eastAsia="zh-CN"/>
        </w:rPr>
        <w:t xml:space="preserve">Steinberg, L. (2017). Adolescence. </w:t>
      </w:r>
      <w:r w:rsidRPr="00DF314E">
        <w:rPr>
          <w:rFonts w:ascii="Times New Roman" w:eastAsia="SimSun" w:hAnsi="Times New Roman" w:cs="Times New Roman"/>
          <w:i/>
          <w:iCs/>
          <w:sz w:val="24"/>
          <w:szCs w:val="28"/>
          <w:lang w:val="en-US" w:eastAsia="zh-CN"/>
        </w:rPr>
        <w:t>McGraw-Hill US Higher Ed USE Legacy</w:t>
      </w:r>
      <w:r w:rsidRPr="00DF314E">
        <w:rPr>
          <w:rFonts w:ascii="Times New Roman" w:eastAsia="SimSun" w:hAnsi="Times New Roman" w:cs="Times New Roman"/>
          <w:sz w:val="24"/>
          <w:szCs w:val="28"/>
          <w:lang w:val="en-US" w:eastAsia="zh-CN"/>
        </w:rPr>
        <w:t>.</w:t>
      </w:r>
    </w:p>
    <w:p w14:paraId="47AE731A" w14:textId="77777777" w:rsidR="00DF314E" w:rsidRPr="00DF314E" w:rsidRDefault="00DF314E" w:rsidP="00DF314E">
      <w:pPr>
        <w:spacing w:after="0" w:line="360" w:lineRule="auto"/>
        <w:ind w:left="567" w:hanging="567"/>
        <w:jc w:val="both"/>
        <w:rPr>
          <w:rFonts w:ascii="Times New Roman" w:eastAsia="SimSun" w:hAnsi="Times New Roman" w:cs="Times New Roman"/>
          <w:spacing w:val="-8"/>
          <w:sz w:val="24"/>
          <w:szCs w:val="28"/>
          <w:lang w:val="en-US" w:eastAsia="zh-CN"/>
        </w:rPr>
      </w:pPr>
      <w:r w:rsidRPr="00DF314E">
        <w:rPr>
          <w:rFonts w:ascii="Times New Roman" w:eastAsia="SimSun" w:hAnsi="Times New Roman" w:cs="Times New Roman"/>
          <w:spacing w:val="-6"/>
          <w:sz w:val="24"/>
          <w:szCs w:val="28"/>
          <w:lang w:val="en-US" w:eastAsia="zh-CN"/>
        </w:rPr>
        <w:t xml:space="preserve">Taylor, R., Oberle, E., Durlak, J., &amp; Weissberg, R. (2017). Promoting Positive Youth Development Through School-Based Social and Emotional Learning Interventions: A Meta-Analysis of Follow-Up Effects. </w:t>
      </w:r>
      <w:r w:rsidRPr="00DF314E">
        <w:rPr>
          <w:rFonts w:ascii="Times New Roman" w:eastAsia="SimSun" w:hAnsi="Times New Roman" w:cs="Times New Roman"/>
          <w:i/>
          <w:iCs/>
          <w:spacing w:val="-6"/>
          <w:sz w:val="24"/>
          <w:szCs w:val="28"/>
          <w:lang w:val="en-US" w:eastAsia="zh-CN"/>
        </w:rPr>
        <w:t>Child Development</w:t>
      </w:r>
      <w:r w:rsidRPr="00DF314E">
        <w:rPr>
          <w:rFonts w:ascii="Times New Roman" w:eastAsia="SimSun" w:hAnsi="Times New Roman" w:cs="Times New Roman"/>
          <w:spacing w:val="-6"/>
          <w:sz w:val="24"/>
          <w:szCs w:val="28"/>
          <w:lang w:val="en-US" w:eastAsia="zh-CN"/>
        </w:rPr>
        <w:t xml:space="preserve">, </w:t>
      </w:r>
      <w:r w:rsidRPr="00DF314E">
        <w:rPr>
          <w:rFonts w:ascii="Times New Roman" w:eastAsia="SimSun" w:hAnsi="Times New Roman" w:cs="Times New Roman"/>
          <w:i/>
          <w:iCs/>
          <w:spacing w:val="-6"/>
          <w:sz w:val="24"/>
          <w:szCs w:val="28"/>
          <w:lang w:val="en-US" w:eastAsia="zh-CN"/>
        </w:rPr>
        <w:t>88</w:t>
      </w:r>
      <w:r w:rsidRPr="00DF314E">
        <w:rPr>
          <w:rFonts w:ascii="Times New Roman" w:eastAsia="SimSun" w:hAnsi="Times New Roman" w:cs="Times New Roman"/>
          <w:spacing w:val="-6"/>
          <w:sz w:val="24"/>
          <w:szCs w:val="28"/>
          <w:lang w:val="en-US" w:eastAsia="zh-CN"/>
        </w:rPr>
        <w:t>, 1156–1171. https://doi.org/10.1111/cdev.12864</w:t>
      </w:r>
    </w:p>
    <w:p w14:paraId="31FAB4EB" w14:textId="77777777" w:rsidR="00DF314E" w:rsidRPr="00992763" w:rsidRDefault="00DF314E" w:rsidP="00DF314E">
      <w:pPr>
        <w:spacing w:after="0" w:line="360" w:lineRule="auto"/>
        <w:ind w:left="567" w:hanging="567"/>
        <w:jc w:val="both"/>
        <w:rPr>
          <w:rFonts w:ascii="Times New Roman" w:eastAsia="SimSun" w:hAnsi="Times New Roman" w:cs="Times New Roman"/>
          <w:spacing w:val="-8"/>
          <w:sz w:val="24"/>
          <w:szCs w:val="28"/>
          <w:lang w:val="en-US" w:eastAsia="zh-CN"/>
        </w:rPr>
      </w:pPr>
      <w:r w:rsidRPr="00DF314E">
        <w:rPr>
          <w:rFonts w:ascii="Times New Roman" w:eastAsia="SimSun" w:hAnsi="Times New Roman" w:cs="Times New Roman"/>
          <w:spacing w:val="-8"/>
          <w:sz w:val="24"/>
          <w:szCs w:val="28"/>
          <w:lang w:val="en-US" w:eastAsia="zh-CN"/>
        </w:rPr>
        <w:t xml:space="preserve">UNESCO. (2023). Global education monitoring report, 2023: Technology in education: A tool on whose terms? </w:t>
      </w:r>
      <w:r w:rsidRPr="00DF314E">
        <w:rPr>
          <w:rFonts w:ascii="Times New Roman" w:eastAsia="SimSun" w:hAnsi="Times New Roman" w:cs="Times New Roman"/>
          <w:i/>
          <w:iCs/>
          <w:spacing w:val="-8"/>
          <w:sz w:val="24"/>
          <w:szCs w:val="28"/>
          <w:lang w:val="en-US" w:eastAsia="zh-CN"/>
        </w:rPr>
        <w:t>- UNESCO Digital Library</w:t>
      </w:r>
      <w:r w:rsidRPr="00DF314E">
        <w:rPr>
          <w:rFonts w:ascii="Times New Roman" w:eastAsia="SimSun" w:hAnsi="Times New Roman" w:cs="Times New Roman"/>
          <w:spacing w:val="-8"/>
          <w:sz w:val="24"/>
          <w:szCs w:val="28"/>
          <w:lang w:val="en-US" w:eastAsia="zh-CN"/>
        </w:rPr>
        <w:t>. https://unesdoc.unesco.org/ark:/48223/pf0000385723</w:t>
      </w:r>
    </w:p>
    <w:p w14:paraId="0A1BE7E5" w14:textId="77777777" w:rsidR="00DF314E" w:rsidRPr="00DF314E" w:rsidRDefault="00DF314E" w:rsidP="00DF314E">
      <w:pPr>
        <w:spacing w:after="0" w:line="360" w:lineRule="auto"/>
        <w:ind w:left="567" w:hanging="567"/>
        <w:jc w:val="both"/>
        <w:rPr>
          <w:rFonts w:ascii="Times New Roman" w:eastAsia="SimSun" w:hAnsi="Times New Roman" w:cs="Times New Roman"/>
          <w:spacing w:val="-8"/>
          <w:sz w:val="24"/>
          <w:szCs w:val="28"/>
          <w:lang w:val="en-US" w:eastAsia="zh-CN"/>
        </w:rPr>
      </w:pPr>
      <w:r w:rsidRPr="00DF314E">
        <w:rPr>
          <w:rFonts w:ascii="Times New Roman" w:eastAsia="SimSun" w:hAnsi="Times New Roman" w:cs="Times New Roman"/>
          <w:sz w:val="24"/>
          <w:szCs w:val="28"/>
          <w:lang w:val="en-US" w:eastAsia="zh-CN"/>
        </w:rPr>
        <w:lastRenderedPageBreak/>
        <w:t xml:space="preserve">Wahidah, A. F. N., &amp; Latipah, E. (2021). The importance of understanding early childhood emotional development and stimulation. </w:t>
      </w:r>
      <w:r w:rsidRPr="00DF314E">
        <w:rPr>
          <w:rFonts w:ascii="Times New Roman" w:eastAsia="SimSun" w:hAnsi="Times New Roman" w:cs="Times New Roman"/>
          <w:i/>
          <w:iCs/>
          <w:sz w:val="24"/>
          <w:szCs w:val="28"/>
          <w:lang w:val="en-US" w:eastAsia="zh-CN"/>
        </w:rPr>
        <w:t>(JAPRA) Jurnal Pendidikan Raudhatul Athfal (JAPRA)</w:t>
      </w:r>
      <w:r w:rsidRPr="00DF314E">
        <w:rPr>
          <w:rFonts w:ascii="Times New Roman" w:eastAsia="SimSun" w:hAnsi="Times New Roman" w:cs="Times New Roman"/>
          <w:sz w:val="24"/>
          <w:szCs w:val="28"/>
          <w:lang w:val="en-US" w:eastAsia="zh-CN"/>
        </w:rPr>
        <w:t xml:space="preserve">, </w:t>
      </w:r>
      <w:r w:rsidRPr="00DF314E">
        <w:rPr>
          <w:rFonts w:ascii="Times New Roman" w:eastAsia="SimSun" w:hAnsi="Times New Roman" w:cs="Times New Roman"/>
          <w:i/>
          <w:iCs/>
          <w:sz w:val="24"/>
          <w:szCs w:val="28"/>
          <w:lang w:val="en-US" w:eastAsia="zh-CN"/>
        </w:rPr>
        <w:t>4</w:t>
      </w:r>
      <w:r w:rsidRPr="00DF314E">
        <w:rPr>
          <w:rFonts w:ascii="Times New Roman" w:eastAsia="SimSun" w:hAnsi="Times New Roman" w:cs="Times New Roman"/>
          <w:sz w:val="24"/>
          <w:szCs w:val="28"/>
          <w:lang w:val="en-US" w:eastAsia="zh-CN"/>
        </w:rPr>
        <w:t>(1), 43–62. https://doi.org/10.15575/japra.v4i1.10940</w:t>
      </w:r>
    </w:p>
    <w:p w14:paraId="55AB67BB" w14:textId="77777777" w:rsidR="00DF314E" w:rsidRPr="00DF314E" w:rsidRDefault="00DF314E" w:rsidP="00DF314E">
      <w:pPr>
        <w:spacing w:after="0" w:line="360" w:lineRule="auto"/>
        <w:ind w:left="567" w:hanging="567"/>
        <w:jc w:val="both"/>
        <w:rPr>
          <w:rFonts w:ascii="Times New Roman" w:eastAsia="SimSun" w:hAnsi="Times New Roman" w:cs="Times New Roman"/>
          <w:spacing w:val="-8"/>
          <w:sz w:val="24"/>
          <w:szCs w:val="28"/>
          <w:lang w:val="en-US" w:eastAsia="zh-CN"/>
        </w:rPr>
      </w:pPr>
      <w:r w:rsidRPr="00DF314E">
        <w:rPr>
          <w:rFonts w:ascii="Times New Roman" w:eastAsia="SimSun" w:hAnsi="Times New Roman" w:cs="Times New Roman"/>
          <w:spacing w:val="-10"/>
          <w:sz w:val="24"/>
          <w:szCs w:val="28"/>
          <w:lang w:val="en-US" w:eastAsia="zh-CN"/>
        </w:rPr>
        <w:t xml:space="preserve">Wang, M.-T., &amp; Degol, J. (2016). School Climate: A Review of the Construct, Measurement, and Impact on Student Outcomes. </w:t>
      </w:r>
      <w:r w:rsidRPr="00DF314E">
        <w:rPr>
          <w:rFonts w:ascii="Times New Roman" w:eastAsia="SimSun" w:hAnsi="Times New Roman" w:cs="Times New Roman"/>
          <w:i/>
          <w:iCs/>
          <w:spacing w:val="-10"/>
          <w:sz w:val="24"/>
          <w:szCs w:val="28"/>
          <w:lang w:val="en-US" w:eastAsia="zh-CN"/>
        </w:rPr>
        <w:t>Educational Psychology Review</w:t>
      </w:r>
      <w:r w:rsidRPr="00DF314E">
        <w:rPr>
          <w:rFonts w:ascii="Times New Roman" w:eastAsia="SimSun" w:hAnsi="Times New Roman" w:cs="Times New Roman"/>
          <w:spacing w:val="-10"/>
          <w:sz w:val="24"/>
          <w:szCs w:val="28"/>
          <w:lang w:val="en-US" w:eastAsia="zh-CN"/>
        </w:rPr>
        <w:t xml:space="preserve">, </w:t>
      </w:r>
      <w:r w:rsidRPr="00DF314E">
        <w:rPr>
          <w:rFonts w:ascii="Times New Roman" w:eastAsia="SimSun" w:hAnsi="Times New Roman" w:cs="Times New Roman"/>
          <w:i/>
          <w:iCs/>
          <w:spacing w:val="-10"/>
          <w:sz w:val="24"/>
          <w:szCs w:val="28"/>
          <w:lang w:val="en-US" w:eastAsia="zh-CN"/>
        </w:rPr>
        <w:t>28</w:t>
      </w:r>
      <w:r w:rsidRPr="00DF314E">
        <w:rPr>
          <w:rFonts w:ascii="Times New Roman" w:eastAsia="SimSun" w:hAnsi="Times New Roman" w:cs="Times New Roman"/>
          <w:spacing w:val="-10"/>
          <w:sz w:val="24"/>
          <w:szCs w:val="28"/>
          <w:lang w:val="en-US" w:eastAsia="zh-CN"/>
        </w:rPr>
        <w:t>. https://doi.org/10.1007/s10648-015-9319-1</w:t>
      </w:r>
    </w:p>
    <w:p w14:paraId="07322BB2" w14:textId="77777777" w:rsidR="00DF314E" w:rsidRPr="00992763" w:rsidRDefault="00DF314E" w:rsidP="00DF314E">
      <w:pPr>
        <w:spacing w:after="0" w:line="360" w:lineRule="auto"/>
        <w:ind w:left="567" w:hanging="567"/>
        <w:jc w:val="both"/>
        <w:rPr>
          <w:rFonts w:ascii="Times New Roman" w:eastAsia="SimSun" w:hAnsi="Times New Roman" w:cs="Times New Roman"/>
          <w:spacing w:val="-8"/>
          <w:sz w:val="24"/>
          <w:szCs w:val="28"/>
          <w:lang w:val="en-US" w:eastAsia="zh-CN"/>
        </w:rPr>
      </w:pPr>
      <w:r w:rsidRPr="00DF314E">
        <w:rPr>
          <w:rFonts w:ascii="Times New Roman" w:eastAsia="SimSun" w:hAnsi="Times New Roman" w:cs="Times New Roman"/>
          <w:spacing w:val="-8"/>
          <w:sz w:val="24"/>
          <w:szCs w:val="28"/>
          <w:lang w:val="en-US" w:eastAsia="zh-CN"/>
        </w:rPr>
        <w:t xml:space="preserve">Wang, M.-T., Scanlon, C., Del Toro, J., &amp; Schall, J. (2020). Employment Status and Psychosocial Adjustment Among Adolescents and Parents During the COVID-19 Pandemic: Multi-Informant Data From Ecological Momentary Assessments. </w:t>
      </w:r>
      <w:r w:rsidRPr="00DF314E">
        <w:rPr>
          <w:rFonts w:ascii="Times New Roman" w:eastAsia="SimSun" w:hAnsi="Times New Roman" w:cs="Times New Roman"/>
          <w:i/>
          <w:iCs/>
          <w:spacing w:val="-8"/>
          <w:sz w:val="24"/>
          <w:szCs w:val="28"/>
          <w:lang w:val="en-US" w:eastAsia="zh-CN"/>
        </w:rPr>
        <w:t>Developmental Psychology</w:t>
      </w:r>
      <w:r w:rsidRPr="00DF314E">
        <w:rPr>
          <w:rFonts w:ascii="Times New Roman" w:eastAsia="SimSun" w:hAnsi="Times New Roman" w:cs="Times New Roman"/>
          <w:spacing w:val="-8"/>
          <w:sz w:val="24"/>
          <w:szCs w:val="28"/>
          <w:lang w:val="en-US" w:eastAsia="zh-CN"/>
        </w:rPr>
        <w:t xml:space="preserve">, </w:t>
      </w:r>
      <w:r w:rsidRPr="00DF314E">
        <w:rPr>
          <w:rFonts w:ascii="Times New Roman" w:eastAsia="SimSun" w:hAnsi="Times New Roman" w:cs="Times New Roman"/>
          <w:i/>
          <w:iCs/>
          <w:spacing w:val="-8"/>
          <w:sz w:val="24"/>
          <w:szCs w:val="28"/>
          <w:lang w:val="en-US" w:eastAsia="zh-CN"/>
        </w:rPr>
        <w:t>60</w:t>
      </w:r>
      <w:r w:rsidRPr="00DF314E">
        <w:rPr>
          <w:rFonts w:ascii="Times New Roman" w:eastAsia="SimSun" w:hAnsi="Times New Roman" w:cs="Times New Roman"/>
          <w:spacing w:val="-8"/>
          <w:sz w:val="24"/>
          <w:szCs w:val="28"/>
          <w:lang w:val="en-US" w:eastAsia="zh-CN"/>
        </w:rPr>
        <w:t>, 335–349. https://doi.org/10.1037/dev0001636</w:t>
      </w:r>
    </w:p>
    <w:p w14:paraId="2DF6C7E5" w14:textId="77777777" w:rsidR="00DF314E" w:rsidRPr="00DF314E" w:rsidRDefault="00DF314E" w:rsidP="00DF314E">
      <w:pPr>
        <w:spacing w:after="0" w:line="360" w:lineRule="auto"/>
        <w:ind w:left="567" w:hanging="567"/>
        <w:jc w:val="both"/>
        <w:rPr>
          <w:rFonts w:ascii="Times New Roman" w:eastAsia="SimSun" w:hAnsi="Times New Roman" w:cs="Times New Roman"/>
          <w:spacing w:val="-8"/>
          <w:sz w:val="24"/>
          <w:szCs w:val="28"/>
          <w:lang w:val="en-US" w:eastAsia="zh-CN"/>
        </w:rPr>
      </w:pPr>
      <w:r w:rsidRPr="00DF314E">
        <w:rPr>
          <w:rFonts w:ascii="Times New Roman" w:eastAsia="SimSun" w:hAnsi="Times New Roman" w:cs="Times New Roman"/>
          <w:sz w:val="24"/>
          <w:szCs w:val="28"/>
          <w:lang w:val="en-US" w:eastAsia="zh-CN"/>
        </w:rPr>
        <w:t xml:space="preserve">Wentzel, K. R. (2017). Peer relationships, motivation, and academic performance at school. In </w:t>
      </w:r>
      <w:r w:rsidRPr="00DF314E">
        <w:rPr>
          <w:rFonts w:ascii="Times New Roman" w:eastAsia="SimSun" w:hAnsi="Times New Roman" w:cs="Times New Roman"/>
          <w:i/>
          <w:iCs/>
          <w:sz w:val="24"/>
          <w:szCs w:val="28"/>
          <w:lang w:val="en-US" w:eastAsia="zh-CN"/>
        </w:rPr>
        <w:t>Handbook of competence and motivation: Theory and application, 2nd ed</w:t>
      </w:r>
      <w:r w:rsidRPr="00DF314E">
        <w:rPr>
          <w:rFonts w:ascii="Times New Roman" w:eastAsia="SimSun" w:hAnsi="Times New Roman" w:cs="Times New Roman"/>
          <w:sz w:val="24"/>
          <w:szCs w:val="28"/>
          <w:lang w:val="en-US" w:eastAsia="zh-CN"/>
        </w:rPr>
        <w:t xml:space="preserve"> (pp. 586–603). The Guilford Press.</w:t>
      </w:r>
    </w:p>
    <w:p w14:paraId="6275DEED" w14:textId="77777777" w:rsidR="00DF314E" w:rsidRPr="00DF314E" w:rsidRDefault="00DF314E" w:rsidP="00DF314E">
      <w:pPr>
        <w:spacing w:after="0" w:line="360" w:lineRule="auto"/>
        <w:ind w:left="567" w:hanging="567"/>
        <w:jc w:val="both"/>
        <w:rPr>
          <w:rFonts w:ascii="Times New Roman" w:eastAsia="SimSun" w:hAnsi="Times New Roman" w:cs="Times New Roman"/>
          <w:spacing w:val="-8"/>
          <w:sz w:val="24"/>
          <w:szCs w:val="28"/>
          <w:lang w:val="en-US" w:eastAsia="zh-CN"/>
        </w:rPr>
      </w:pPr>
      <w:r w:rsidRPr="00DF314E">
        <w:rPr>
          <w:rFonts w:ascii="Times New Roman" w:eastAsia="SimSun" w:hAnsi="Times New Roman" w:cs="Times New Roman"/>
          <w:spacing w:val="-4"/>
          <w:sz w:val="24"/>
          <w:szCs w:val="28"/>
          <w:lang w:val="en-US" w:eastAsia="zh-CN"/>
        </w:rPr>
        <w:t>Yin, R. K. (2018). Case Study Research and Applications</w:t>
      </w:r>
      <w:r w:rsidRPr="00DF314E">
        <w:rPr>
          <w:rFonts w:ascii="Times New Roman" w:eastAsia="SimSun" w:hAnsi="Times New Roman" w:cs="Times New Roman"/>
          <w:i/>
          <w:iCs/>
          <w:spacing w:val="-4"/>
          <w:sz w:val="24"/>
          <w:szCs w:val="28"/>
          <w:lang w:val="en-US" w:eastAsia="zh-CN"/>
        </w:rPr>
        <w:t xml:space="preserve">: </w:t>
      </w:r>
      <w:r w:rsidRPr="00DF314E">
        <w:rPr>
          <w:rFonts w:ascii="Times New Roman" w:eastAsia="SimSun" w:hAnsi="Times New Roman" w:cs="Times New Roman"/>
          <w:spacing w:val="-4"/>
          <w:sz w:val="24"/>
          <w:szCs w:val="28"/>
          <w:lang w:val="en-US" w:eastAsia="zh-CN"/>
        </w:rPr>
        <w:t xml:space="preserve">Design and Methods. </w:t>
      </w:r>
      <w:r w:rsidRPr="00DF314E">
        <w:rPr>
          <w:rFonts w:ascii="Times New Roman" w:eastAsia="SimSun" w:hAnsi="Times New Roman" w:cs="Times New Roman"/>
          <w:i/>
          <w:iCs/>
          <w:spacing w:val="-4"/>
          <w:sz w:val="24"/>
          <w:szCs w:val="28"/>
          <w:lang w:val="en-US" w:eastAsia="zh-CN"/>
        </w:rPr>
        <w:t>Sage Publications</w:t>
      </w:r>
      <w:r w:rsidRPr="00DF314E">
        <w:rPr>
          <w:rFonts w:ascii="Times New Roman" w:eastAsia="SimSun" w:hAnsi="Times New Roman" w:cs="Times New Roman"/>
          <w:spacing w:val="-4"/>
          <w:sz w:val="24"/>
          <w:szCs w:val="28"/>
          <w:lang w:val="en-US" w:eastAsia="zh-CN"/>
        </w:rPr>
        <w:t>.</w:t>
      </w:r>
    </w:p>
    <w:p w14:paraId="259BD3B3" w14:textId="3B0C506B" w:rsidR="00DF314E" w:rsidRPr="00DF314E" w:rsidRDefault="00DF314E" w:rsidP="00DF314E">
      <w:pPr>
        <w:spacing w:after="0" w:line="360" w:lineRule="auto"/>
        <w:ind w:left="567" w:hanging="567"/>
        <w:jc w:val="both"/>
        <w:rPr>
          <w:rFonts w:ascii="Times New Roman" w:eastAsia="SimSun" w:hAnsi="Times New Roman" w:cs="Times New Roman"/>
          <w:spacing w:val="-8"/>
          <w:szCs w:val="24"/>
          <w:lang w:val="en-US" w:eastAsia="zh-CN"/>
        </w:rPr>
      </w:pPr>
      <w:r w:rsidRPr="00DF314E">
        <w:rPr>
          <w:rFonts w:ascii="Times New Roman" w:eastAsia="SimSun" w:hAnsi="Times New Roman" w:cs="Times New Roman"/>
          <w:spacing w:val="-4"/>
          <w:sz w:val="24"/>
          <w:szCs w:val="28"/>
          <w:lang w:val="en-US" w:eastAsia="zh-CN"/>
        </w:rPr>
        <w:t xml:space="preserve">Zimmermann, P., &amp; Iwanski, A. (2014). Emotion regulation from early adolescence to emerging adulthood and middle adulthood: Age differences, gender differences, and emotion-specific developmental variations. </w:t>
      </w:r>
      <w:r w:rsidRPr="00DF314E">
        <w:rPr>
          <w:rFonts w:ascii="Times New Roman" w:eastAsia="SimSun" w:hAnsi="Times New Roman" w:cs="Times New Roman"/>
          <w:i/>
          <w:iCs/>
          <w:spacing w:val="-4"/>
          <w:sz w:val="24"/>
          <w:szCs w:val="28"/>
          <w:lang w:val="en-US" w:eastAsia="zh-CN"/>
        </w:rPr>
        <w:t>International Journal of Behavioral Development</w:t>
      </w:r>
      <w:r w:rsidRPr="00DF314E">
        <w:rPr>
          <w:rFonts w:ascii="Times New Roman" w:eastAsia="SimSun" w:hAnsi="Times New Roman" w:cs="Times New Roman"/>
          <w:spacing w:val="-4"/>
          <w:sz w:val="24"/>
          <w:szCs w:val="28"/>
          <w:lang w:val="en-US" w:eastAsia="zh-CN"/>
        </w:rPr>
        <w:t xml:space="preserve">, </w:t>
      </w:r>
      <w:r w:rsidRPr="00DF314E">
        <w:rPr>
          <w:rFonts w:ascii="Times New Roman" w:eastAsia="SimSun" w:hAnsi="Times New Roman" w:cs="Times New Roman"/>
          <w:i/>
          <w:iCs/>
          <w:spacing w:val="-4"/>
          <w:sz w:val="24"/>
          <w:szCs w:val="28"/>
          <w:lang w:val="en-US" w:eastAsia="zh-CN"/>
        </w:rPr>
        <w:t>38</w:t>
      </w:r>
      <w:r w:rsidRPr="00DF314E">
        <w:rPr>
          <w:rFonts w:ascii="Times New Roman" w:eastAsia="SimSun" w:hAnsi="Times New Roman" w:cs="Times New Roman"/>
          <w:spacing w:val="-4"/>
          <w:sz w:val="24"/>
          <w:szCs w:val="28"/>
          <w:lang w:val="en-US" w:eastAsia="zh-CN"/>
        </w:rPr>
        <w:t>, 182–194. https://doi.org/10.1177/0165025413515405</w:t>
      </w:r>
    </w:p>
    <w:p w14:paraId="6DC1CBA9" w14:textId="6615501E" w:rsidR="00DB4057" w:rsidRDefault="00DF314E" w:rsidP="00DF314E">
      <w:pPr>
        <w:spacing w:after="0" w:line="360" w:lineRule="auto"/>
        <w:rPr>
          <w:rFonts w:ascii="Times New Roman" w:eastAsia="Times New Roman" w:hAnsi="Times New Roman" w:cs="Times New Roman"/>
          <w:sz w:val="24"/>
          <w:szCs w:val="24"/>
        </w:rPr>
      </w:pPr>
      <w:r w:rsidRPr="00DF314E">
        <w:rPr>
          <w:rFonts w:ascii="Times New Roman" w:eastAsia="SimSun" w:hAnsi="Times New Roman" w:cs="Times New Roman"/>
          <w:lang w:eastAsia="zh-CN"/>
        </w:rPr>
        <w:fldChar w:fldCharType="end"/>
      </w:r>
    </w:p>
    <w:p w14:paraId="3EAF149F" w14:textId="77777777" w:rsidR="00DB4057" w:rsidRDefault="00DB4057">
      <w:pPr>
        <w:spacing w:after="0" w:line="360" w:lineRule="auto"/>
        <w:rPr>
          <w:rFonts w:ascii="Times New Roman" w:eastAsia="Times New Roman" w:hAnsi="Times New Roman" w:cs="Times New Roman"/>
          <w:sz w:val="24"/>
          <w:szCs w:val="24"/>
        </w:rPr>
      </w:pPr>
    </w:p>
    <w:p w14:paraId="5DB6E5E9" w14:textId="77777777" w:rsidR="00DB4057" w:rsidRDefault="00DB4057">
      <w:pPr>
        <w:spacing w:after="0" w:line="360" w:lineRule="auto"/>
        <w:rPr>
          <w:sz w:val="24"/>
          <w:szCs w:val="24"/>
        </w:rPr>
      </w:pPr>
    </w:p>
    <w:p w14:paraId="4C9F06CB" w14:textId="77777777" w:rsidR="00DB4057" w:rsidRDefault="00DB4057"/>
    <w:p w14:paraId="0BD469D9" w14:textId="77777777" w:rsidR="00DB4057" w:rsidRDefault="00DB4057"/>
    <w:p w14:paraId="6EED63F9" w14:textId="77777777" w:rsidR="00DB4057" w:rsidRDefault="00DB4057"/>
    <w:p w14:paraId="242145DD" w14:textId="77777777" w:rsidR="00DB4057" w:rsidRDefault="00DB4057"/>
    <w:p w14:paraId="2B81F33F" w14:textId="77777777" w:rsidR="00DB4057" w:rsidRDefault="00DB4057"/>
    <w:sectPr w:rsidR="00DB4057" w:rsidSect="00DC5EAE">
      <w:headerReference w:type="default" r:id="rId19"/>
      <w:footerReference w:type="default" r:id="rId20"/>
      <w:pgSz w:w="11907" w:h="16840" w:code="9"/>
      <w:pgMar w:top="1418" w:right="1418" w:bottom="1418" w:left="1418" w:header="851"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CA02D" w14:textId="77777777" w:rsidR="009D4F60" w:rsidRDefault="009D4F60">
      <w:pPr>
        <w:spacing w:after="0" w:line="240" w:lineRule="auto"/>
      </w:pPr>
      <w:r>
        <w:separator/>
      </w:r>
    </w:p>
  </w:endnote>
  <w:endnote w:type="continuationSeparator" w:id="0">
    <w:p w14:paraId="05F15023" w14:textId="77777777" w:rsidR="009D4F60" w:rsidRDefault="009D4F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066B4" w14:textId="77777777" w:rsidR="00DB4057" w:rsidRDefault="009D4F60">
    <w:pPr>
      <w:pBdr>
        <w:top w:val="nil"/>
        <w:left w:val="nil"/>
        <w:bottom w:val="nil"/>
        <w:right w:val="nil"/>
        <w:between w:val="nil"/>
      </w:pBdr>
      <w:tabs>
        <w:tab w:val="center" w:pos="4680"/>
        <w:tab w:val="right" w:pos="9360"/>
        <w:tab w:val="right" w:pos="9071"/>
      </w:tabs>
      <w:spacing w:after="0" w:line="240" w:lineRule="auto"/>
      <w:rPr>
        <w:b/>
        <w:color w:val="000000"/>
        <w:sz w:val="24"/>
        <w:szCs w:val="24"/>
      </w:rPr>
    </w:pPr>
    <w:r>
      <w:rPr>
        <w:i/>
        <w:color w:val="000000"/>
        <w:sz w:val="24"/>
        <w:szCs w:val="24"/>
      </w:rPr>
      <w:t>Penulis</w:t>
    </w:r>
    <w:r>
      <w:rPr>
        <w:color w:val="000000"/>
        <w:sz w:val="24"/>
        <w:szCs w:val="24"/>
      </w:rPr>
      <w:tab/>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73726F">
      <w:rPr>
        <w:b/>
        <w:noProof/>
        <w:color w:val="000000"/>
        <w:sz w:val="24"/>
        <w:szCs w:val="24"/>
      </w:rPr>
      <w:t>2</w:t>
    </w:r>
    <w:r>
      <w:rPr>
        <w:b/>
        <w:color w:val="00000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B3D2B" w14:textId="77777777" w:rsidR="009D4F60" w:rsidRDefault="009D4F60">
      <w:pPr>
        <w:spacing w:after="0" w:line="240" w:lineRule="auto"/>
      </w:pPr>
      <w:r>
        <w:separator/>
      </w:r>
    </w:p>
  </w:footnote>
  <w:footnote w:type="continuationSeparator" w:id="0">
    <w:p w14:paraId="44B4329F" w14:textId="77777777" w:rsidR="009D4F60" w:rsidRDefault="009D4F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5C6FB" w14:textId="77777777" w:rsidR="00DB4057" w:rsidRDefault="009D4F60">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JURNAL TARBIYAH</w:t>
    </w:r>
  </w:p>
  <w:p w14:paraId="1EBF573D" w14:textId="77777777" w:rsidR="00DB4057" w:rsidRDefault="009D4F60">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Volume </w:t>
    </w:r>
    <w:r>
      <w:rPr>
        <w:rFonts w:ascii="Times New Roman" w:eastAsia="Times New Roman" w:hAnsi="Times New Roman" w:cs="Times New Roman"/>
        <w:i/>
        <w:sz w:val="20"/>
        <w:szCs w:val="20"/>
      </w:rPr>
      <w:t>xx</w:t>
    </w:r>
    <w:r>
      <w:rPr>
        <w:rFonts w:ascii="Times New Roman" w:eastAsia="Times New Roman" w:hAnsi="Times New Roman" w:cs="Times New Roman"/>
        <w:i/>
        <w:color w:val="000000"/>
        <w:sz w:val="20"/>
        <w:szCs w:val="20"/>
      </w:rPr>
      <w:t xml:space="preserve">, Number </w:t>
    </w:r>
    <w:r>
      <w:rPr>
        <w:rFonts w:ascii="Times New Roman" w:eastAsia="Times New Roman" w:hAnsi="Times New Roman" w:cs="Times New Roman"/>
        <w:i/>
        <w:sz w:val="20"/>
        <w:szCs w:val="20"/>
      </w:rPr>
      <w:t>xx</w:t>
    </w:r>
    <w:r>
      <w:rPr>
        <w:rFonts w:ascii="Times New Roman" w:eastAsia="Times New Roman" w:hAnsi="Times New Roman" w:cs="Times New Roman"/>
        <w:i/>
        <w:color w:val="000000"/>
        <w:sz w:val="20"/>
        <w:szCs w:val="20"/>
      </w:rPr>
      <w:t xml:space="preserve">, Juni/December </w:t>
    </w:r>
    <w:r>
      <w:rPr>
        <w:rFonts w:ascii="Times New Roman" w:eastAsia="Times New Roman" w:hAnsi="Times New Roman" w:cs="Times New Roman"/>
        <w:i/>
        <w:sz w:val="20"/>
        <w:szCs w:val="20"/>
      </w:rPr>
      <w:t>xxxx</w:t>
    </w:r>
    <w:r>
      <w:rPr>
        <w:rFonts w:ascii="Times New Roman" w:eastAsia="Times New Roman" w:hAnsi="Times New Roman" w:cs="Times New Roman"/>
        <w:i/>
        <w:color w:val="000000"/>
        <w:sz w:val="20"/>
        <w:szCs w:val="20"/>
      </w:rPr>
      <w:t>, pp. xx-xx</w:t>
    </w:r>
  </w:p>
  <w:p w14:paraId="2D8280A6" w14:textId="77777777" w:rsidR="00DB4057" w:rsidRDefault="009D4F60">
    <w:pPr>
      <w:pBdr>
        <w:top w:val="nil"/>
        <w:left w:val="nil"/>
        <w:bottom w:val="nil"/>
        <w:right w:val="nil"/>
        <w:between w:val="nil"/>
      </w:pBdr>
      <w:tabs>
        <w:tab w:val="center" w:pos="4680"/>
        <w:tab w:val="right" w:pos="9360"/>
        <w:tab w:val="center" w:pos="4535"/>
        <w:tab w:val="left" w:pos="7384"/>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noProof/>
      </w:rPr>
      <mc:AlternateContent>
        <mc:Choice Requires="wps">
          <w:drawing>
            <wp:anchor distT="0" distB="0" distL="114300" distR="114300" simplePos="0" relativeHeight="251658240" behindDoc="0" locked="0" layoutInCell="1" hidden="0" allowOverlap="1" wp14:anchorId="33FD037B" wp14:editId="0C7B60BA">
              <wp:simplePos x="0" y="0"/>
              <wp:positionH relativeFrom="column">
                <wp:posOffset>12701</wp:posOffset>
              </wp:positionH>
              <wp:positionV relativeFrom="paragraph">
                <wp:posOffset>114300</wp:posOffset>
              </wp:positionV>
              <wp:extent cx="0" cy="25400"/>
              <wp:effectExtent l="0" t="0" r="0" b="0"/>
              <wp:wrapNone/>
              <wp:docPr id="1649595739" name="Straight Arrow Connector 1649595739"/>
              <wp:cNvGraphicFramePr/>
              <a:graphic xmlns:a="http://schemas.openxmlformats.org/drawingml/2006/main">
                <a:graphicData uri="http://schemas.microsoft.com/office/word/2010/wordprocessingShape">
                  <wps:wsp>
                    <wps:cNvCnPr/>
                    <wps:spPr>
                      <a:xfrm>
                        <a:off x="2468180" y="3780000"/>
                        <a:ext cx="5755640" cy="0"/>
                      </a:xfrm>
                      <a:prstGeom prst="straightConnector1">
                        <a:avLst/>
                      </a:prstGeom>
                      <a:noFill/>
                      <a:ln w="25400" cap="flat" cmpd="sng">
                        <a:solidFill>
                          <a:srgbClr val="0070C0"/>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114300</wp:posOffset>
              </wp:positionV>
              <wp:extent cx="0" cy="25400"/>
              <wp:effectExtent b="0" l="0" r="0" t="0"/>
              <wp:wrapNone/>
              <wp:docPr id="1649595739"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0" cy="25400"/>
                      </a:xfrm>
                      <a:prstGeom prst="rect"/>
                      <a:ln/>
                    </pic:spPr>
                  </pic:pic>
                </a:graphicData>
              </a:graphic>
            </wp:anchor>
          </w:drawing>
        </mc:Fallback>
      </mc:AlternateContent>
    </w:r>
  </w:p>
  <w:p w14:paraId="028E30B5" w14:textId="77777777" w:rsidR="00DB4057" w:rsidRDefault="00DB4057">
    <w:pPr>
      <w:pBdr>
        <w:top w:val="nil"/>
        <w:left w:val="nil"/>
        <w:bottom w:val="nil"/>
        <w:right w:val="nil"/>
        <w:between w:val="nil"/>
      </w:pBdr>
      <w:tabs>
        <w:tab w:val="center" w:pos="4680"/>
        <w:tab w:val="right" w:pos="9360"/>
        <w:tab w:val="center" w:pos="4535"/>
        <w:tab w:val="left" w:pos="7384"/>
      </w:tabs>
      <w:spacing w:after="0" w:line="240" w:lineRule="auto"/>
      <w:rPr>
        <w:rFonts w:ascii="Times New Roman" w:eastAsia="Times New Roman" w:hAnsi="Times New Roman" w:cs="Times New Roman"/>
        <w:color w:val="000000"/>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057"/>
    <w:rsid w:val="006B5537"/>
    <w:rsid w:val="006E26F8"/>
    <w:rsid w:val="0073726F"/>
    <w:rsid w:val="00972DC1"/>
    <w:rsid w:val="00992763"/>
    <w:rsid w:val="009D4F60"/>
    <w:rsid w:val="00DB4057"/>
    <w:rsid w:val="00DC5EAE"/>
    <w:rsid w:val="00DD2D90"/>
    <w:rsid w:val="00DF314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B4452"/>
  <w15:docId w15:val="{2A976CF9-85E5-43D7-B3E3-9901C7101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5E8"/>
    <w:rPr>
      <w:lang w:val="id-ID"/>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TMLPreformatted">
    <w:name w:val="HTML Preformatted"/>
    <w:basedOn w:val="Normal"/>
    <w:link w:val="HTMLPreformattedChar"/>
    <w:uiPriority w:val="99"/>
    <w:unhideWhenUsed/>
    <w:rsid w:val="006765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6765E8"/>
    <w:rPr>
      <w:rFonts w:ascii="Courier New" w:eastAsia="Times New Roman" w:hAnsi="Courier New" w:cs="Courier New"/>
      <w:sz w:val="20"/>
      <w:szCs w:val="20"/>
      <w:lang w:val="id-ID" w:eastAsia="id-ID"/>
    </w:rPr>
  </w:style>
  <w:style w:type="character" w:styleId="Hyperlink">
    <w:name w:val="Hyperlink"/>
    <w:uiPriority w:val="99"/>
    <w:unhideWhenUsed/>
    <w:rsid w:val="006765E8"/>
    <w:rPr>
      <w:color w:val="0000FF"/>
      <w:u w:val="single"/>
    </w:rPr>
  </w:style>
  <w:style w:type="paragraph" w:styleId="Header">
    <w:name w:val="header"/>
    <w:basedOn w:val="Normal"/>
    <w:link w:val="HeaderChar"/>
    <w:uiPriority w:val="99"/>
    <w:unhideWhenUsed/>
    <w:rsid w:val="00DB4C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4C42"/>
    <w:rPr>
      <w:lang w:val="id-ID"/>
    </w:rPr>
  </w:style>
  <w:style w:type="paragraph" w:styleId="Footer">
    <w:name w:val="footer"/>
    <w:basedOn w:val="Normal"/>
    <w:link w:val="FooterChar"/>
    <w:uiPriority w:val="99"/>
    <w:unhideWhenUsed/>
    <w:rsid w:val="00DB4C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4C42"/>
    <w:rPr>
      <w:lang w:val="id-ID"/>
    </w:rPr>
  </w:style>
  <w:style w:type="table" w:styleId="TableGrid">
    <w:name w:val="Table Grid"/>
    <w:basedOn w:val="TableNormal"/>
    <w:uiPriority w:val="59"/>
    <w:rsid w:val="00206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B0093"/>
    <w:rPr>
      <w:color w:val="605E5C"/>
      <w:shd w:val="clear" w:color="auto" w:fill="E1DFDD"/>
    </w:rPr>
  </w:style>
  <w:style w:type="paragraph" w:styleId="NormalWeb">
    <w:name w:val="Normal (Web)"/>
    <w:basedOn w:val="Normal"/>
    <w:uiPriority w:val="99"/>
    <w:unhideWhenUsed/>
    <w:rsid w:val="006F7E0A"/>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NoSpacing">
    <w:name w:val="No Spacing"/>
    <w:uiPriority w:val="1"/>
    <w:qFormat/>
    <w:rsid w:val="00AD6785"/>
    <w:pPr>
      <w:spacing w:after="0" w:line="240" w:lineRule="auto"/>
    </w:pPr>
    <w:rPr>
      <w:lang w:val="id-ID"/>
    </w:rPr>
  </w:style>
  <w:style w:type="character" w:customStyle="1" w:styleId="ListParagraphChar">
    <w:name w:val="List Paragraph Char"/>
    <w:aliases w:val="Body of text Char,List Paragraph1 Char,Colorful List - Accent 11 Char,kepala 1 Char,KEPALA 3 Char,Body of textCxSp Char,KEPALA 31 Char,List Paragraph11 Char,KEPALA 32 Char,Body of text1 Char,kepala 11 Char,List Paragraph12 Char"/>
    <w:link w:val="ListParagraph"/>
    <w:uiPriority w:val="34"/>
    <w:locked/>
    <w:rsid w:val="00AD6785"/>
    <w:rPr>
      <w:rFonts w:ascii="Times New Roman" w:eastAsia="Times New Roman" w:hAnsi="Times New Roman" w:cs="Times New Roman"/>
      <w:sz w:val="24"/>
      <w:szCs w:val="24"/>
      <w:lang w:eastAsia="x-none"/>
    </w:rPr>
  </w:style>
  <w:style w:type="paragraph" w:styleId="ListParagraph">
    <w:name w:val="List Paragraph"/>
    <w:aliases w:val="Body of text,List Paragraph1,Colorful List - Accent 11,kepala 1,KEPALA 3,Body of textCxSp,KEPALA 31,List Paragraph11,KEPALA 32,Body of text1,kepala 11,List Paragraph12,Body of text2,List Paragraph13,KEPALA 33,kepala 12,Body of text3"/>
    <w:basedOn w:val="Normal"/>
    <w:link w:val="ListParagraphChar"/>
    <w:uiPriority w:val="34"/>
    <w:qFormat/>
    <w:rsid w:val="00AD6785"/>
    <w:pPr>
      <w:spacing w:after="0" w:line="240" w:lineRule="auto"/>
      <w:ind w:left="720"/>
      <w:contextualSpacing/>
    </w:pPr>
    <w:rPr>
      <w:rFonts w:ascii="Times New Roman" w:eastAsia="Times New Roman" w:hAnsi="Times New Roman" w:cs="Times New Roman"/>
      <w:sz w:val="24"/>
      <w:szCs w:val="24"/>
      <w:lang w:val="en-US" w:eastAsia="x-none"/>
    </w:rPr>
  </w:style>
  <w:style w:type="paragraph" w:customStyle="1" w:styleId="Pythagoras932ParagrafAfterTablePicture">
    <w:name w:val="Pythagoras_932ParagrafAfterTablePicture"/>
    <w:basedOn w:val="Normal"/>
    <w:qFormat/>
    <w:rsid w:val="00AD6785"/>
    <w:pPr>
      <w:spacing w:before="120" w:after="0" w:line="240" w:lineRule="auto"/>
      <w:jc w:val="both"/>
    </w:pPr>
    <w:rPr>
      <w:rFonts w:eastAsia="Times New Roman" w:cs="Times New Roman"/>
      <w:spacing w:val="-10"/>
      <w:szCs w:val="24"/>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yperlink" Target="mailto:jamil.suprihatiningrum@uin-suka.ac.id" TargetMode="External"/><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24204011005@student.uin-suka.ac.idm" TargetMode="Externa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dx.doi.org/10.30829/tar.v30i2.XXXX"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OcvViXAgTmowQqmhVlVWbk0EYg==">CgMxLjAaIwoBMBIeChwIB0IYCg9UaW1lcyBOZXcgUm9tYW4SBUNhcmRvGiMKATESHgocCAdCGAoPVGltZXMgTmV3IFJvbWFuEgVDYXJkbzgAciExYjgtM1FTMUZzTzlkM2pRaWpqT0dYMjlVS1ozQmRDMGY=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6D9E77A-596B-40CF-BAD5-3467F628C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21878</Words>
  <Characters>124710</Characters>
  <Application>Microsoft Office Word</Application>
  <DocSecurity>0</DocSecurity>
  <Lines>1039</Lines>
  <Paragraphs>292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Fauziah Fitri</dc:creator>
  <cp:lastModifiedBy>Asus</cp:lastModifiedBy>
  <cp:revision>2</cp:revision>
  <dcterms:created xsi:type="dcterms:W3CDTF">2026-02-13T19:52:00Z</dcterms:created>
  <dcterms:modified xsi:type="dcterms:W3CDTF">2026-02-13T19:52:00Z</dcterms:modified>
</cp:coreProperties>
</file>